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D350" w14:textId="77777777" w:rsidR="005B31DF" w:rsidRPr="00FB039B" w:rsidRDefault="005B31DF" w:rsidP="005B31DF">
      <w:pPr>
        <w:divId w:val="31537477"/>
        <w:rPr>
          <w:rStyle w:val="Strong"/>
          <w:rFonts w:ascii="Verdana" w:eastAsia="Times New Roman" w:hAnsi="Verdana"/>
          <w:sz w:val="28"/>
          <w:szCs w:val="28"/>
        </w:rPr>
      </w:pPr>
    </w:p>
    <w:p w14:paraId="47FEF5BE" w14:textId="77777777" w:rsidR="00423394" w:rsidRDefault="00423394" w:rsidP="005B31DF">
      <w:pPr>
        <w:divId w:val="31537477"/>
        <w:rPr>
          <w:rStyle w:val="Strong"/>
          <w:rFonts w:ascii="Verdana" w:eastAsia="Times New Roman" w:hAnsi="Verdana"/>
          <w:sz w:val="22"/>
          <w:szCs w:val="22"/>
        </w:rPr>
      </w:pPr>
    </w:p>
    <w:p w14:paraId="260FE5AC" w14:textId="77777777" w:rsidR="006F54DE" w:rsidRDefault="006F54DE" w:rsidP="006F54DE">
      <w:pPr>
        <w:rPr>
          <w:rFonts w:ascii="Verdana" w:eastAsia="Times New Roman" w:hAnsi="Verdana"/>
          <w:sz w:val="18"/>
          <w:szCs w:val="18"/>
        </w:rPr>
      </w:pPr>
      <w:r>
        <w:rPr>
          <w:rStyle w:val="Strong"/>
          <w:rFonts w:ascii="Verdana" w:eastAsia="Times New Roman" w:hAnsi="Verdana"/>
          <w:sz w:val="18"/>
          <w:szCs w:val="18"/>
        </w:rPr>
        <w:t xml:space="preserve">Trapping distinct states to characterize the </w:t>
      </w:r>
      <w:proofErr w:type="spellStart"/>
      <w:r>
        <w:rPr>
          <w:rStyle w:val="Strong"/>
          <w:rFonts w:ascii="Verdana" w:eastAsia="Times New Roman" w:hAnsi="Verdana"/>
          <w:sz w:val="18"/>
          <w:szCs w:val="18"/>
        </w:rPr>
        <w:t>MurJ</w:t>
      </w:r>
      <w:proofErr w:type="spellEnd"/>
      <w:r>
        <w:rPr>
          <w:rStyle w:val="Strong"/>
          <w:rFonts w:ascii="Verdana" w:eastAsia="Times New Roman" w:hAnsi="Verdana"/>
          <w:sz w:val="18"/>
          <w:szCs w:val="18"/>
        </w:rPr>
        <w:t xml:space="preserve">-Lipid II complex </w:t>
      </w:r>
      <w:r>
        <w:rPr>
          <w:rFonts w:ascii="Verdana" w:eastAsia="Times New Roman" w:hAnsi="Verdana"/>
          <w:sz w:val="18"/>
          <w:szCs w:val="18"/>
        </w:rPr>
        <w:br/>
        <w:t>Kylin M. Elliott</w:t>
      </w:r>
      <w:r>
        <w:rPr>
          <w:rFonts w:ascii="Verdana" w:eastAsia="Times New Roman" w:hAnsi="Verdana"/>
          <w:sz w:val="18"/>
          <w:szCs w:val="18"/>
        </w:rPr>
        <w:br/>
      </w:r>
      <w:r>
        <w:rPr>
          <w:rStyle w:val="Emphasis"/>
          <w:rFonts w:ascii="Verdana" w:eastAsia="Times New Roman" w:hAnsi="Verdana"/>
          <w:sz w:val="18"/>
          <w:szCs w:val="18"/>
        </w:rPr>
        <w:t>Mentors: William M. Clemons and Grace F. Baron</w:t>
      </w:r>
      <w:r>
        <w:rPr>
          <w:rFonts w:ascii="Verdana" w:eastAsia="Times New Roman" w:hAnsi="Verdana"/>
          <w:sz w:val="18"/>
          <w:szCs w:val="18"/>
        </w:rPr>
        <w:t xml:space="preserve"> </w:t>
      </w:r>
    </w:p>
    <w:p w14:paraId="4AEAB513" w14:textId="77777777" w:rsidR="006F54DE" w:rsidRDefault="006F54DE" w:rsidP="006F54DE">
      <w:pPr>
        <w:pStyle w:val="NormalWeb"/>
        <w:rPr>
          <w:rFonts w:ascii="Verdana" w:hAnsi="Verdana"/>
          <w:sz w:val="18"/>
          <w:szCs w:val="18"/>
        </w:rPr>
      </w:pPr>
      <w:proofErr w:type="spellStart"/>
      <w:r>
        <w:rPr>
          <w:rFonts w:ascii="Verdana" w:hAnsi="Verdana"/>
          <w:sz w:val="18"/>
          <w:szCs w:val="18"/>
        </w:rPr>
        <w:t>MurJ</w:t>
      </w:r>
      <w:proofErr w:type="spellEnd"/>
      <w:r>
        <w:rPr>
          <w:rFonts w:ascii="Verdana" w:hAnsi="Verdana"/>
          <w:sz w:val="18"/>
          <w:szCs w:val="18"/>
        </w:rPr>
        <w:t xml:space="preserve"> is the essential lipid II </w:t>
      </w:r>
      <w:proofErr w:type="spellStart"/>
      <w:r>
        <w:rPr>
          <w:rFonts w:ascii="Verdana" w:hAnsi="Verdana"/>
          <w:sz w:val="18"/>
          <w:szCs w:val="18"/>
        </w:rPr>
        <w:t>flippase</w:t>
      </w:r>
      <w:proofErr w:type="spellEnd"/>
      <w:r>
        <w:rPr>
          <w:rFonts w:ascii="Verdana" w:hAnsi="Verdana"/>
          <w:sz w:val="18"/>
          <w:szCs w:val="18"/>
        </w:rPr>
        <w:t xml:space="preserve"> involved in peptidoglycan biosynthesis, the pathway responsible for cell wall formation that is conserved across bacteria. When bacteria cannot form a cell wall, cells will lyse from osmotic pressure, making </w:t>
      </w:r>
      <w:proofErr w:type="spellStart"/>
      <w:r>
        <w:rPr>
          <w:rFonts w:ascii="Verdana" w:hAnsi="Verdana"/>
          <w:sz w:val="18"/>
          <w:szCs w:val="18"/>
        </w:rPr>
        <w:t>MurJ</w:t>
      </w:r>
      <w:proofErr w:type="spellEnd"/>
      <w:r>
        <w:rPr>
          <w:rFonts w:ascii="Verdana" w:hAnsi="Verdana"/>
          <w:sz w:val="18"/>
          <w:szCs w:val="18"/>
        </w:rPr>
        <w:t xml:space="preserve"> an emerging antibacterial target. Due to conformational changes and subsequent substrate release, it has been impossible to capture the substrate-bound structure of </w:t>
      </w:r>
      <w:proofErr w:type="spellStart"/>
      <w:r>
        <w:rPr>
          <w:rFonts w:ascii="Verdana" w:hAnsi="Verdana"/>
          <w:sz w:val="18"/>
          <w:szCs w:val="18"/>
        </w:rPr>
        <w:t>MurJ</w:t>
      </w:r>
      <w:proofErr w:type="spellEnd"/>
      <w:r>
        <w:rPr>
          <w:rFonts w:ascii="Verdana" w:hAnsi="Verdana"/>
          <w:sz w:val="18"/>
          <w:szCs w:val="18"/>
        </w:rPr>
        <w:t xml:space="preserve"> or to fully understand its transport mechanism. To solve this problem, constructs with point mutation pairs were created, specifically engineered to form disulfide bonds that trap an inward-facing conformation of </w:t>
      </w:r>
      <w:proofErr w:type="spellStart"/>
      <w:r>
        <w:rPr>
          <w:rFonts w:ascii="Verdana" w:hAnsi="Verdana"/>
          <w:sz w:val="18"/>
          <w:szCs w:val="18"/>
        </w:rPr>
        <w:t>MurJ</w:t>
      </w:r>
      <w:proofErr w:type="spellEnd"/>
      <w:r>
        <w:rPr>
          <w:rFonts w:ascii="Verdana" w:hAnsi="Verdana"/>
          <w:sz w:val="18"/>
          <w:szCs w:val="18"/>
        </w:rPr>
        <w:t xml:space="preserve">. We hypothesize that trapping this distinct state will allow for substrate binding in vitro and allow structural characterization of the complex. The primary methodology includes construct design and multi-step membrane protein purification, and evaluation of disulfide formation using assays with trypsin digestion and oxidative treatments. Disulfide bond formation in the constructs has been confirmed, and </w:t>
      </w:r>
      <w:proofErr w:type="spellStart"/>
      <w:r>
        <w:rPr>
          <w:rFonts w:ascii="Verdana" w:hAnsi="Verdana"/>
          <w:sz w:val="18"/>
          <w:szCs w:val="18"/>
        </w:rPr>
        <w:t>CryoEM</w:t>
      </w:r>
      <w:proofErr w:type="spellEnd"/>
      <w:r>
        <w:rPr>
          <w:rFonts w:ascii="Verdana" w:hAnsi="Verdana"/>
          <w:sz w:val="18"/>
          <w:szCs w:val="18"/>
        </w:rPr>
        <w:t xml:space="preserve"> analysis will be performed to evaluate the state of the proteins before moving forward with structural characterization of the lipid II-bound state.</w:t>
      </w:r>
    </w:p>
    <w:p w14:paraId="29317F95" w14:textId="77777777" w:rsidR="006F54DE" w:rsidRDefault="006F54DE" w:rsidP="006F54DE">
      <w:pPr>
        <w:rPr>
          <w:rFonts w:ascii="Verdana" w:eastAsia="Times New Roman" w:hAnsi="Verdana"/>
          <w:sz w:val="18"/>
          <w:szCs w:val="18"/>
        </w:rPr>
      </w:pPr>
      <w:r>
        <w:rPr>
          <w:rStyle w:val="Strong"/>
          <w:rFonts w:ascii="Verdana" w:eastAsia="Times New Roman" w:hAnsi="Verdana"/>
          <w:color w:val="000000"/>
          <w:sz w:val="18"/>
          <w:szCs w:val="18"/>
        </w:rPr>
        <w:t xml:space="preserve">Removal of C55-P-P-GlcNAc-ManNAcA from </w:t>
      </w:r>
      <w:proofErr w:type="spellStart"/>
      <w:r>
        <w:rPr>
          <w:rStyle w:val="Strong"/>
          <w:rFonts w:ascii="Verdana" w:eastAsia="Times New Roman" w:hAnsi="Verdana"/>
          <w:color w:val="000000"/>
          <w:sz w:val="18"/>
          <w:szCs w:val="18"/>
        </w:rPr>
        <w:t>MjAglH</w:t>
      </w:r>
      <w:proofErr w:type="spellEnd"/>
      <w:r>
        <w:rPr>
          <w:rStyle w:val="Strong"/>
          <w:rFonts w:ascii="Verdana" w:eastAsia="Times New Roman" w:hAnsi="Verdana"/>
          <w:color w:val="000000"/>
          <w:sz w:val="18"/>
          <w:szCs w:val="18"/>
        </w:rPr>
        <w:t xml:space="preserve"> for improved structural analysis</w:t>
      </w:r>
      <w:r>
        <w:rPr>
          <w:rFonts w:ascii="Verdana" w:eastAsia="Times New Roman" w:hAnsi="Verdana"/>
          <w:sz w:val="18"/>
          <w:szCs w:val="18"/>
        </w:rPr>
        <w:br/>
        <w:t>Grace H. Otos</w:t>
      </w:r>
      <w:r>
        <w:rPr>
          <w:rFonts w:ascii="Verdana" w:eastAsia="Times New Roman" w:hAnsi="Verdana"/>
          <w:sz w:val="18"/>
          <w:szCs w:val="18"/>
        </w:rPr>
        <w:br/>
      </w:r>
      <w:r>
        <w:rPr>
          <w:rStyle w:val="Emphasis"/>
          <w:rFonts w:ascii="Verdana" w:eastAsia="Times New Roman" w:hAnsi="Verdana"/>
          <w:sz w:val="18"/>
          <w:szCs w:val="18"/>
        </w:rPr>
        <w:t>Mentors: William M. Clemons and Jacob Kirsh</w:t>
      </w:r>
      <w:r>
        <w:rPr>
          <w:rFonts w:ascii="Verdana" w:eastAsia="Times New Roman" w:hAnsi="Verdana"/>
          <w:sz w:val="18"/>
          <w:szCs w:val="18"/>
        </w:rPr>
        <w:t xml:space="preserve"> </w:t>
      </w:r>
    </w:p>
    <w:p w14:paraId="6AF83D42" w14:textId="77777777" w:rsidR="006F54DE" w:rsidRDefault="006F54DE" w:rsidP="006F54DE">
      <w:pPr>
        <w:pStyle w:val="NormalWeb"/>
        <w:rPr>
          <w:rFonts w:ascii="Verdana" w:hAnsi="Verdana"/>
          <w:sz w:val="18"/>
          <w:szCs w:val="18"/>
        </w:rPr>
      </w:pPr>
      <w:r>
        <w:rPr>
          <w:rFonts w:ascii="Verdana" w:hAnsi="Verdana"/>
          <w:color w:val="000000"/>
          <w:sz w:val="18"/>
          <w:szCs w:val="18"/>
        </w:rPr>
        <w:t xml:space="preserve">N-glycosylation is a post-translational modification where glycans are added to asparagine residues on proteins. In humans these modifications are important for cell adhesion, migration, and signaling. In archaea they are essential for forming a protective proteinaceous layer on the membrane, enabling survival in extreme environments. The initiating proteins for this process in humans and archaea are homologs DPAGT1 and </w:t>
      </w:r>
      <w:proofErr w:type="spellStart"/>
      <w:r>
        <w:rPr>
          <w:rFonts w:ascii="Verdana" w:hAnsi="Verdana"/>
          <w:color w:val="000000"/>
          <w:sz w:val="18"/>
          <w:szCs w:val="18"/>
        </w:rPr>
        <w:t>AglH</w:t>
      </w:r>
      <w:proofErr w:type="spellEnd"/>
      <w:r>
        <w:rPr>
          <w:rFonts w:ascii="Verdana" w:hAnsi="Verdana"/>
          <w:color w:val="000000"/>
          <w:sz w:val="18"/>
          <w:szCs w:val="18"/>
        </w:rPr>
        <w:t xml:space="preserve">. Structural analysis of </w:t>
      </w:r>
      <w:proofErr w:type="spellStart"/>
      <w:r>
        <w:rPr>
          <w:rFonts w:ascii="Verdana" w:hAnsi="Verdana"/>
          <w:color w:val="000000"/>
          <w:sz w:val="18"/>
          <w:szCs w:val="18"/>
        </w:rPr>
        <w:t>AglH</w:t>
      </w:r>
      <w:proofErr w:type="spellEnd"/>
      <w:r>
        <w:rPr>
          <w:rFonts w:ascii="Verdana" w:hAnsi="Verdana"/>
          <w:color w:val="000000"/>
          <w:sz w:val="18"/>
          <w:szCs w:val="18"/>
        </w:rPr>
        <w:t xml:space="preserve"> in the Clemons lab thus far has found it to be structurally similar to DPAGT1, making it of interest for comparative analysis. However, the existing structural data for </w:t>
      </w:r>
      <w:proofErr w:type="spellStart"/>
      <w:r>
        <w:rPr>
          <w:rFonts w:ascii="Verdana" w:hAnsi="Verdana"/>
          <w:color w:val="000000"/>
          <w:sz w:val="18"/>
          <w:szCs w:val="18"/>
        </w:rPr>
        <w:t>AglH</w:t>
      </w:r>
      <w:proofErr w:type="spellEnd"/>
      <w:r>
        <w:rPr>
          <w:rFonts w:ascii="Verdana" w:hAnsi="Verdana"/>
          <w:color w:val="000000"/>
          <w:sz w:val="18"/>
          <w:szCs w:val="18"/>
        </w:rPr>
        <w:t xml:space="preserve"> shows the binding pocket to be occupied by the non-native lipid, C55-P-P-GlcNAc-ManNAcA; a result of the </w:t>
      </w:r>
      <w:proofErr w:type="spellStart"/>
      <w:proofErr w:type="gramStart"/>
      <w:r>
        <w:rPr>
          <w:rFonts w:ascii="Verdana" w:hAnsi="Verdana"/>
          <w:color w:val="000000"/>
          <w:sz w:val="18"/>
          <w:szCs w:val="18"/>
        </w:rPr>
        <w:t>E.Coli</w:t>
      </w:r>
      <w:proofErr w:type="spellEnd"/>
      <w:proofErr w:type="gramEnd"/>
      <w:r>
        <w:rPr>
          <w:rFonts w:ascii="Verdana" w:hAnsi="Verdana"/>
          <w:color w:val="000000"/>
          <w:sz w:val="18"/>
          <w:szCs w:val="18"/>
        </w:rPr>
        <w:t xml:space="preserve"> expression system. This project explores techniques to obtain an </w:t>
      </w:r>
      <w:proofErr w:type="gramStart"/>
      <w:r>
        <w:rPr>
          <w:rFonts w:ascii="Verdana" w:hAnsi="Verdana"/>
          <w:color w:val="000000"/>
          <w:sz w:val="18"/>
          <w:szCs w:val="18"/>
        </w:rPr>
        <w:t>apo</w:t>
      </w:r>
      <w:proofErr w:type="gramEnd"/>
      <w:r>
        <w:rPr>
          <w:rFonts w:ascii="Verdana" w:hAnsi="Verdana"/>
          <w:color w:val="000000"/>
          <w:sz w:val="18"/>
          <w:szCs w:val="18"/>
        </w:rPr>
        <w:t xml:space="preserve"> </w:t>
      </w:r>
      <w:proofErr w:type="spellStart"/>
      <w:r>
        <w:rPr>
          <w:rFonts w:ascii="Verdana" w:hAnsi="Verdana"/>
          <w:color w:val="000000"/>
          <w:sz w:val="18"/>
          <w:szCs w:val="18"/>
        </w:rPr>
        <w:t>AglH</w:t>
      </w:r>
      <w:proofErr w:type="spellEnd"/>
      <w:r>
        <w:rPr>
          <w:rFonts w:ascii="Verdana" w:hAnsi="Verdana"/>
          <w:color w:val="000000"/>
          <w:sz w:val="18"/>
          <w:szCs w:val="18"/>
        </w:rPr>
        <w:t xml:space="preserve"> sample to enable further study of </w:t>
      </w:r>
      <w:proofErr w:type="spellStart"/>
      <w:r>
        <w:rPr>
          <w:rFonts w:ascii="Verdana" w:hAnsi="Verdana"/>
          <w:color w:val="000000"/>
          <w:sz w:val="18"/>
          <w:szCs w:val="18"/>
        </w:rPr>
        <w:t>AglH</w:t>
      </w:r>
      <w:proofErr w:type="spellEnd"/>
      <w:r>
        <w:rPr>
          <w:rFonts w:ascii="Verdana" w:hAnsi="Verdana"/>
          <w:color w:val="000000"/>
          <w:sz w:val="18"/>
          <w:szCs w:val="18"/>
        </w:rPr>
        <w:t xml:space="preserve">. </w:t>
      </w:r>
      <w:proofErr w:type="gramStart"/>
      <w:r>
        <w:rPr>
          <w:rFonts w:ascii="Verdana" w:hAnsi="Verdana"/>
          <w:color w:val="000000"/>
          <w:sz w:val="18"/>
          <w:szCs w:val="18"/>
        </w:rPr>
        <w:t>In order to</w:t>
      </w:r>
      <w:proofErr w:type="gramEnd"/>
      <w:r>
        <w:rPr>
          <w:rFonts w:ascii="Verdana" w:hAnsi="Verdana"/>
          <w:color w:val="000000"/>
          <w:sz w:val="18"/>
          <w:szCs w:val="18"/>
        </w:rPr>
        <w:t xml:space="preserve"> obtain an apo sample, we applied three strategies: catalytically ablated mutants, a catalytically active mutant, and a lipid stripped wild type sample. Through mass spectrometry and </w:t>
      </w:r>
      <w:proofErr w:type="spellStart"/>
      <w:r>
        <w:rPr>
          <w:rFonts w:ascii="Verdana" w:hAnsi="Verdana"/>
          <w:color w:val="000000"/>
          <w:sz w:val="18"/>
          <w:szCs w:val="18"/>
        </w:rPr>
        <w:t>lipidomics</w:t>
      </w:r>
      <w:proofErr w:type="spellEnd"/>
      <w:r>
        <w:rPr>
          <w:rFonts w:ascii="Verdana" w:hAnsi="Verdana"/>
          <w:color w:val="000000"/>
          <w:sz w:val="18"/>
          <w:szCs w:val="18"/>
        </w:rPr>
        <w:t xml:space="preserve">, we were able to identify the successful removal of </w:t>
      </w:r>
      <w:proofErr w:type="gramStart"/>
      <w:r>
        <w:rPr>
          <w:rFonts w:ascii="Verdana" w:hAnsi="Verdana"/>
          <w:color w:val="000000"/>
          <w:sz w:val="18"/>
          <w:szCs w:val="18"/>
        </w:rPr>
        <w:t>C55-P-P</w:t>
      </w:r>
      <w:proofErr w:type="gramEnd"/>
      <w:r>
        <w:rPr>
          <w:rFonts w:ascii="Verdana" w:hAnsi="Verdana"/>
          <w:color w:val="000000"/>
          <w:sz w:val="18"/>
          <w:szCs w:val="18"/>
        </w:rPr>
        <w:t>-GlcNAc-ManNAcA from both catalytically ablated mutants and continue to work to purify and analyze our catalytically active and lipid-stripped samples for the removal of the lipid.</w:t>
      </w:r>
    </w:p>
    <w:p w14:paraId="50530DC7" w14:textId="77777777" w:rsidR="006F54DE" w:rsidRDefault="006F54DE" w:rsidP="006F54DE">
      <w:pPr>
        <w:rPr>
          <w:rFonts w:ascii="Verdana" w:eastAsia="Times New Roman" w:hAnsi="Verdana"/>
          <w:sz w:val="18"/>
          <w:szCs w:val="18"/>
        </w:rPr>
      </w:pPr>
      <w:r>
        <w:rPr>
          <w:rStyle w:val="Strong"/>
          <w:rFonts w:ascii="Verdana" w:eastAsia="Times New Roman" w:hAnsi="Verdana"/>
          <w:color w:val="000000"/>
          <w:sz w:val="18"/>
          <w:szCs w:val="18"/>
        </w:rPr>
        <w:t xml:space="preserve">Identifying cellular targets of phage-encoded single gene lysis proteins in </w:t>
      </w:r>
      <w:r>
        <w:rPr>
          <w:rStyle w:val="Emphasis"/>
          <w:rFonts w:ascii="Verdana" w:eastAsia="Times New Roman" w:hAnsi="Verdana"/>
          <w:b/>
          <w:bCs/>
          <w:color w:val="000000"/>
          <w:sz w:val="18"/>
          <w:szCs w:val="18"/>
        </w:rPr>
        <w:t>Escherichia coli</w:t>
      </w:r>
      <w:r>
        <w:rPr>
          <w:rFonts w:ascii="Verdana" w:eastAsia="Times New Roman" w:hAnsi="Verdana"/>
          <w:sz w:val="18"/>
          <w:szCs w:val="18"/>
        </w:rPr>
        <w:br/>
        <w:t>Nihira Padidam</w:t>
      </w:r>
      <w:r>
        <w:rPr>
          <w:rFonts w:ascii="Verdana" w:eastAsia="Times New Roman" w:hAnsi="Verdana"/>
          <w:sz w:val="18"/>
          <w:szCs w:val="18"/>
        </w:rPr>
        <w:br/>
      </w:r>
      <w:r>
        <w:rPr>
          <w:rStyle w:val="Emphasis"/>
          <w:rFonts w:ascii="Verdana" w:eastAsia="Times New Roman" w:hAnsi="Verdana"/>
          <w:sz w:val="18"/>
          <w:szCs w:val="18"/>
        </w:rPr>
        <w:t xml:space="preserve">Mentors: William M. Clemons and </w:t>
      </w:r>
      <w:proofErr w:type="spellStart"/>
      <w:r>
        <w:rPr>
          <w:rStyle w:val="Emphasis"/>
          <w:rFonts w:ascii="Verdana" w:eastAsia="Times New Roman" w:hAnsi="Verdana"/>
          <w:sz w:val="18"/>
          <w:szCs w:val="18"/>
        </w:rPr>
        <w:t>Roujon</w:t>
      </w:r>
      <w:proofErr w:type="spellEnd"/>
      <w:r>
        <w:rPr>
          <w:rStyle w:val="Emphasis"/>
          <w:rFonts w:ascii="Verdana" w:eastAsia="Times New Roman" w:hAnsi="Verdana"/>
          <w:sz w:val="18"/>
          <w:szCs w:val="18"/>
        </w:rPr>
        <w:t xml:space="preserve"> Nowzari</w:t>
      </w:r>
      <w:r>
        <w:rPr>
          <w:rFonts w:ascii="Verdana" w:eastAsia="Times New Roman" w:hAnsi="Verdana"/>
          <w:sz w:val="18"/>
          <w:szCs w:val="18"/>
        </w:rPr>
        <w:t xml:space="preserve"> </w:t>
      </w:r>
    </w:p>
    <w:p w14:paraId="1D446E6D" w14:textId="77777777" w:rsidR="006F54DE" w:rsidRDefault="006F54DE" w:rsidP="006F54DE">
      <w:pPr>
        <w:pStyle w:val="NormalWeb"/>
        <w:rPr>
          <w:rFonts w:ascii="Verdana" w:hAnsi="Verdana"/>
          <w:color w:val="000000"/>
          <w:sz w:val="18"/>
          <w:szCs w:val="18"/>
        </w:rPr>
      </w:pPr>
      <w:r>
        <w:rPr>
          <w:rFonts w:ascii="Verdana" w:hAnsi="Verdana"/>
          <w:color w:val="000000"/>
          <w:sz w:val="18"/>
          <w:szCs w:val="18"/>
        </w:rPr>
        <w:t>Antimicrobial resistance poses a global health threat that demands investigation of alternative target discovery. Single-gene lysis (</w:t>
      </w:r>
      <w:proofErr w:type="spellStart"/>
      <w:r>
        <w:rPr>
          <w:rFonts w:ascii="Verdana" w:hAnsi="Verdana"/>
          <w:color w:val="000000"/>
          <w:sz w:val="18"/>
          <w:szCs w:val="18"/>
        </w:rPr>
        <w:t>Sgl</w:t>
      </w:r>
      <w:proofErr w:type="spellEnd"/>
      <w:r>
        <w:rPr>
          <w:rFonts w:ascii="Verdana" w:hAnsi="Verdana"/>
          <w:color w:val="000000"/>
          <w:sz w:val="18"/>
          <w:szCs w:val="18"/>
        </w:rPr>
        <w:t xml:space="preserve">) proteins encoded by lytic bacteriophages induce lysis in host bacterial cells. Due to their rapid evolution and diversity, the study of </w:t>
      </w:r>
      <w:proofErr w:type="spellStart"/>
      <w:r>
        <w:rPr>
          <w:rFonts w:ascii="Verdana" w:hAnsi="Verdana"/>
          <w:color w:val="000000"/>
          <w:sz w:val="18"/>
          <w:szCs w:val="18"/>
        </w:rPr>
        <w:t>Sgl</w:t>
      </w:r>
      <w:proofErr w:type="spellEnd"/>
      <w:r>
        <w:rPr>
          <w:rFonts w:ascii="Verdana" w:hAnsi="Verdana"/>
          <w:color w:val="000000"/>
          <w:sz w:val="18"/>
          <w:szCs w:val="18"/>
        </w:rPr>
        <w:t xml:space="preserve"> lysis mechanisms offers abundant opportunities to identify new druggable targets. While the number of newly discovered </w:t>
      </w:r>
      <w:proofErr w:type="spellStart"/>
      <w:r>
        <w:rPr>
          <w:rFonts w:ascii="Verdana" w:hAnsi="Verdana"/>
          <w:color w:val="000000"/>
          <w:sz w:val="18"/>
          <w:szCs w:val="18"/>
        </w:rPr>
        <w:t>Sgls</w:t>
      </w:r>
      <w:proofErr w:type="spellEnd"/>
      <w:r>
        <w:rPr>
          <w:rFonts w:ascii="Verdana" w:hAnsi="Verdana"/>
          <w:color w:val="000000"/>
          <w:sz w:val="18"/>
          <w:szCs w:val="18"/>
        </w:rPr>
        <w:t xml:space="preserve"> has increased, most </w:t>
      </w:r>
      <w:proofErr w:type="spellStart"/>
      <w:r>
        <w:rPr>
          <w:rFonts w:ascii="Verdana" w:hAnsi="Verdana"/>
          <w:color w:val="000000"/>
          <w:sz w:val="18"/>
          <w:szCs w:val="18"/>
        </w:rPr>
        <w:t>Sgl</w:t>
      </w:r>
      <w:proofErr w:type="spellEnd"/>
      <w:r>
        <w:rPr>
          <w:rFonts w:ascii="Verdana" w:hAnsi="Verdana"/>
          <w:color w:val="000000"/>
          <w:sz w:val="18"/>
          <w:szCs w:val="18"/>
        </w:rPr>
        <w:t xml:space="preserve"> targets continue to remain unknown. Here, we aim to elucidate the mechanism of lysis in </w:t>
      </w:r>
      <w:r>
        <w:rPr>
          <w:rStyle w:val="Emphasis"/>
          <w:rFonts w:ascii="Verdana" w:hAnsi="Verdana"/>
          <w:color w:val="000000"/>
          <w:sz w:val="18"/>
          <w:szCs w:val="18"/>
        </w:rPr>
        <w:t>E. coli</w:t>
      </w:r>
      <w:r>
        <w:rPr>
          <w:rFonts w:ascii="Verdana" w:hAnsi="Verdana"/>
          <w:color w:val="000000"/>
          <w:sz w:val="18"/>
          <w:szCs w:val="18"/>
        </w:rPr>
        <w:t xml:space="preserve"> of three newly discovered </w:t>
      </w:r>
      <w:proofErr w:type="spellStart"/>
      <w:r>
        <w:rPr>
          <w:rFonts w:ascii="Verdana" w:hAnsi="Verdana"/>
          <w:color w:val="000000"/>
          <w:sz w:val="18"/>
          <w:szCs w:val="18"/>
        </w:rPr>
        <w:t>Sgls</w:t>
      </w:r>
      <w:proofErr w:type="spellEnd"/>
      <w:r>
        <w:rPr>
          <w:rFonts w:ascii="Verdana" w:hAnsi="Verdana"/>
          <w:color w:val="000000"/>
          <w:sz w:val="18"/>
          <w:szCs w:val="18"/>
        </w:rPr>
        <w:t xml:space="preserve"> ESO 003, ESE 027, and EMM 000. We seek to develop a genetic screen to identify resistance mutations mapping to </w:t>
      </w:r>
      <w:proofErr w:type="spellStart"/>
      <w:r>
        <w:rPr>
          <w:rFonts w:ascii="Verdana" w:hAnsi="Verdana"/>
          <w:color w:val="000000"/>
          <w:sz w:val="18"/>
          <w:szCs w:val="18"/>
        </w:rPr>
        <w:t>Sgl</w:t>
      </w:r>
      <w:proofErr w:type="spellEnd"/>
      <w:r>
        <w:rPr>
          <w:rFonts w:ascii="Verdana" w:hAnsi="Verdana"/>
          <w:color w:val="000000"/>
          <w:sz w:val="18"/>
          <w:szCs w:val="18"/>
        </w:rPr>
        <w:t xml:space="preserve">-specific targets and apply it to our </w:t>
      </w:r>
      <w:proofErr w:type="spellStart"/>
      <w:r>
        <w:rPr>
          <w:rFonts w:ascii="Verdana" w:hAnsi="Verdana"/>
          <w:color w:val="000000"/>
          <w:sz w:val="18"/>
          <w:szCs w:val="18"/>
        </w:rPr>
        <w:t>Sgls</w:t>
      </w:r>
      <w:proofErr w:type="spellEnd"/>
      <w:r>
        <w:rPr>
          <w:rFonts w:ascii="Verdana" w:hAnsi="Verdana"/>
          <w:color w:val="000000"/>
          <w:sz w:val="18"/>
          <w:szCs w:val="18"/>
        </w:rPr>
        <w:t xml:space="preserve"> of interest. Additionally, we aim to assess bacterial cellular morphology during </w:t>
      </w:r>
      <w:proofErr w:type="spellStart"/>
      <w:r>
        <w:rPr>
          <w:rFonts w:ascii="Verdana" w:hAnsi="Verdana"/>
          <w:color w:val="000000"/>
          <w:sz w:val="18"/>
          <w:szCs w:val="18"/>
        </w:rPr>
        <w:t>Sgl</w:t>
      </w:r>
      <w:proofErr w:type="spellEnd"/>
      <w:r>
        <w:rPr>
          <w:rFonts w:ascii="Verdana" w:hAnsi="Verdana"/>
          <w:color w:val="000000"/>
          <w:sz w:val="18"/>
          <w:szCs w:val="18"/>
        </w:rPr>
        <w:t xml:space="preserve">-induced lysis to determine whether these </w:t>
      </w:r>
      <w:proofErr w:type="spellStart"/>
      <w:r>
        <w:rPr>
          <w:rFonts w:ascii="Verdana" w:hAnsi="Verdana"/>
          <w:color w:val="000000"/>
          <w:sz w:val="18"/>
          <w:szCs w:val="18"/>
        </w:rPr>
        <w:t>Sgls</w:t>
      </w:r>
      <w:proofErr w:type="spellEnd"/>
      <w:r>
        <w:rPr>
          <w:rFonts w:ascii="Verdana" w:hAnsi="Verdana"/>
          <w:color w:val="000000"/>
          <w:sz w:val="18"/>
          <w:szCs w:val="18"/>
        </w:rPr>
        <w:t xml:space="preserve"> target cell wall biosynthesis. By defining the targets of </w:t>
      </w:r>
      <w:proofErr w:type="spellStart"/>
      <w:r>
        <w:rPr>
          <w:rFonts w:ascii="Verdana" w:hAnsi="Verdana"/>
          <w:color w:val="000000"/>
          <w:sz w:val="18"/>
          <w:szCs w:val="18"/>
        </w:rPr>
        <w:t>Sgl</w:t>
      </w:r>
      <w:proofErr w:type="spellEnd"/>
      <w:r>
        <w:rPr>
          <w:rFonts w:ascii="Verdana" w:hAnsi="Verdana"/>
          <w:color w:val="000000"/>
          <w:sz w:val="18"/>
          <w:szCs w:val="18"/>
        </w:rPr>
        <w:t xml:space="preserve"> proteins, our work aims to identify bacterial vulnerabilities that can be leveraged to develop new drugs and combat the prevalence of drug-resistant pathogens.</w:t>
      </w:r>
    </w:p>
    <w:p w14:paraId="46880889" w14:textId="77777777" w:rsidR="009A54FA" w:rsidRDefault="009A54FA" w:rsidP="006F54DE">
      <w:pPr>
        <w:pStyle w:val="NormalWeb"/>
        <w:rPr>
          <w:rFonts w:ascii="Verdana" w:hAnsi="Verdana"/>
          <w:sz w:val="18"/>
          <w:szCs w:val="18"/>
        </w:rPr>
      </w:pPr>
    </w:p>
    <w:p w14:paraId="654D0AFC" w14:textId="77777777" w:rsidR="006F54DE" w:rsidRDefault="006F54DE" w:rsidP="006F54DE">
      <w:pPr>
        <w:rPr>
          <w:rFonts w:ascii="Verdana" w:eastAsia="Times New Roman" w:hAnsi="Verdana"/>
          <w:sz w:val="18"/>
          <w:szCs w:val="18"/>
        </w:rPr>
      </w:pPr>
      <w:r>
        <w:rPr>
          <w:rStyle w:val="Strong"/>
          <w:rFonts w:ascii="Verdana" w:eastAsia="Times New Roman" w:hAnsi="Verdana"/>
          <w:sz w:val="18"/>
          <w:szCs w:val="18"/>
        </w:rPr>
        <w:lastRenderedPageBreak/>
        <w:t>Circulating microbial and vesicle-associated signatures as potential biomarkers of atherosclerotic plaque states</w:t>
      </w:r>
      <w:r>
        <w:rPr>
          <w:rFonts w:ascii="Verdana" w:eastAsia="Times New Roman" w:hAnsi="Verdana"/>
          <w:sz w:val="18"/>
          <w:szCs w:val="18"/>
        </w:rPr>
        <w:br/>
        <w:t>Emily Tu</w:t>
      </w:r>
      <w:r>
        <w:rPr>
          <w:rFonts w:ascii="Verdana" w:eastAsia="Times New Roman" w:hAnsi="Verdana"/>
          <w:sz w:val="18"/>
          <w:szCs w:val="18"/>
        </w:rPr>
        <w:br/>
      </w:r>
      <w:r>
        <w:rPr>
          <w:rStyle w:val="Emphasis"/>
          <w:rFonts w:ascii="Verdana" w:eastAsia="Times New Roman" w:hAnsi="Verdana"/>
          <w:sz w:val="18"/>
          <w:szCs w:val="18"/>
        </w:rPr>
        <w:t>Mentors: Rustem F. Ismagilov and Roey Lazarovits</w:t>
      </w:r>
      <w:r>
        <w:rPr>
          <w:rFonts w:ascii="Verdana" w:eastAsia="Times New Roman" w:hAnsi="Verdana"/>
          <w:sz w:val="18"/>
          <w:szCs w:val="18"/>
        </w:rPr>
        <w:t xml:space="preserve"> </w:t>
      </w:r>
    </w:p>
    <w:p w14:paraId="57AB5903" w14:textId="77777777" w:rsidR="006F54DE" w:rsidRDefault="006F54DE" w:rsidP="006F54DE">
      <w:pPr>
        <w:pStyle w:val="NormalWeb"/>
        <w:rPr>
          <w:rFonts w:ascii="Verdana" w:hAnsi="Verdana"/>
          <w:sz w:val="18"/>
          <w:szCs w:val="18"/>
        </w:rPr>
      </w:pPr>
      <w:r>
        <w:rPr>
          <w:rFonts w:ascii="Verdana" w:hAnsi="Verdana"/>
          <w:sz w:val="18"/>
          <w:szCs w:val="18"/>
        </w:rPr>
        <w:t>Atherosclerotic plaques vary in their composition and behavior as some remain stable, whereas others become inflamed, calcified, rupture-prone, or otherwise high-risk. The underlying mechanisms that drive different plaque states remain incompletely characterized. One possibility is that microbial and vesicle-associated biomarkers contribute to plaque heterogeneity, particularly if circulating material can be traced to the oral microbiome. Periodontal disease and gingival disruption have been associated with cardiovascular disease and allow microbial products to enter the bloodstream. Once in circulation, microbial cell-free nucleic acids, extracellular vesicles, and bacterial vesicles could link oral microbial communities and vascular disease. This project aims to investigate whether oral microbial biomarkers are detectable in blood and whether they connect to plaque inflammation, calcification, and necrotic core formation. The current approach focuses on establishing a paired oral and blood sampling framework and optimizing methods for detecting cell-free nucleic acids and vesicle-associated material.</w:t>
      </w:r>
    </w:p>
    <w:p w14:paraId="22482257" w14:textId="77777777" w:rsidR="0074221C" w:rsidRPr="00AE3D05" w:rsidRDefault="0074221C" w:rsidP="0074221C">
      <w:pPr>
        <w:spacing w:line="276" w:lineRule="auto"/>
        <w:rPr>
          <w:rFonts w:ascii="Verdana" w:hAnsi="Verdana"/>
          <w:b/>
          <w:bCs/>
          <w:sz w:val="18"/>
          <w:szCs w:val="18"/>
        </w:rPr>
      </w:pPr>
      <w:r w:rsidRPr="00AE3D05">
        <w:rPr>
          <w:rFonts w:ascii="Verdana" w:hAnsi="Verdana"/>
          <w:b/>
          <w:bCs/>
          <w:sz w:val="18"/>
          <w:szCs w:val="18"/>
        </w:rPr>
        <w:t xml:space="preserve">Progress towards </w:t>
      </w:r>
      <w:proofErr w:type="spellStart"/>
      <w:r w:rsidRPr="00AE3D05">
        <w:rPr>
          <w:rFonts w:ascii="Verdana" w:hAnsi="Verdana"/>
          <w:b/>
          <w:bCs/>
          <w:sz w:val="18"/>
          <w:szCs w:val="18"/>
        </w:rPr>
        <w:t>multimetallic</w:t>
      </w:r>
      <w:proofErr w:type="spellEnd"/>
      <w:r w:rsidRPr="00AE3D05">
        <w:rPr>
          <w:rFonts w:ascii="Verdana" w:hAnsi="Verdana"/>
          <w:b/>
          <w:bCs/>
          <w:sz w:val="18"/>
          <w:szCs w:val="18"/>
        </w:rPr>
        <w:t xml:space="preserve"> nickel- and iron-based CO</w:t>
      </w:r>
      <w:r w:rsidRPr="00AE3D05">
        <w:rPr>
          <w:rFonts w:ascii="Verdana" w:hAnsi="Verdana"/>
          <w:b/>
          <w:bCs/>
          <w:sz w:val="18"/>
          <w:szCs w:val="18"/>
          <w:vertAlign w:val="subscript"/>
        </w:rPr>
        <w:t>2</w:t>
      </w:r>
      <w:r w:rsidRPr="00AE3D05">
        <w:rPr>
          <w:rFonts w:ascii="Verdana" w:hAnsi="Verdana"/>
          <w:b/>
          <w:bCs/>
          <w:sz w:val="18"/>
          <w:szCs w:val="18"/>
        </w:rPr>
        <w:t xml:space="preserve"> reduction catalysts</w:t>
      </w:r>
    </w:p>
    <w:p w14:paraId="445A2817" w14:textId="77777777" w:rsidR="0074221C" w:rsidRPr="00AE3D05" w:rsidRDefault="0074221C" w:rsidP="0074221C">
      <w:pPr>
        <w:spacing w:line="276" w:lineRule="auto"/>
        <w:rPr>
          <w:rFonts w:ascii="Verdana" w:hAnsi="Verdana"/>
          <w:sz w:val="18"/>
          <w:szCs w:val="18"/>
        </w:rPr>
      </w:pPr>
      <w:r w:rsidRPr="00AE3D05">
        <w:rPr>
          <w:rFonts w:ascii="Verdana" w:hAnsi="Verdana"/>
          <w:sz w:val="18"/>
          <w:szCs w:val="18"/>
        </w:rPr>
        <w:t>Vassilios Dresios</w:t>
      </w:r>
    </w:p>
    <w:p w14:paraId="51C0D4F1" w14:textId="77777777" w:rsidR="0074221C" w:rsidRPr="00AE3D05" w:rsidRDefault="0074221C" w:rsidP="0074221C">
      <w:pPr>
        <w:spacing w:line="276" w:lineRule="auto"/>
        <w:rPr>
          <w:rFonts w:ascii="Verdana" w:hAnsi="Verdana"/>
          <w:i/>
          <w:iCs/>
          <w:sz w:val="18"/>
          <w:szCs w:val="18"/>
        </w:rPr>
      </w:pPr>
      <w:r w:rsidRPr="00AE3D05">
        <w:rPr>
          <w:rFonts w:ascii="Verdana" w:hAnsi="Verdana"/>
          <w:i/>
          <w:iCs/>
          <w:sz w:val="18"/>
          <w:szCs w:val="18"/>
        </w:rPr>
        <w:t>Mentors: Theodor Agapie and Leo Morag</w:t>
      </w:r>
    </w:p>
    <w:p w14:paraId="6DB6128A" w14:textId="77777777" w:rsidR="0074221C" w:rsidRPr="00AE3D05" w:rsidRDefault="0074221C" w:rsidP="0074221C">
      <w:pPr>
        <w:spacing w:line="276" w:lineRule="auto"/>
        <w:rPr>
          <w:rFonts w:ascii="Verdana" w:hAnsi="Verdana"/>
          <w:sz w:val="18"/>
          <w:szCs w:val="18"/>
        </w:rPr>
      </w:pPr>
    </w:p>
    <w:p w14:paraId="7CF23509" w14:textId="77777777" w:rsidR="0074221C" w:rsidRDefault="0074221C" w:rsidP="0074221C">
      <w:pPr>
        <w:jc w:val="both"/>
        <w:rPr>
          <w:rFonts w:ascii="Verdana" w:hAnsi="Verdana"/>
          <w:sz w:val="18"/>
          <w:szCs w:val="18"/>
        </w:rPr>
      </w:pPr>
      <w:proofErr w:type="spellStart"/>
      <w:r w:rsidRPr="00AE3D05">
        <w:rPr>
          <w:rFonts w:ascii="Verdana" w:hAnsi="Verdana"/>
          <w:sz w:val="18"/>
          <w:szCs w:val="18"/>
        </w:rPr>
        <w:t>Multimetallic</w:t>
      </w:r>
      <w:proofErr w:type="spellEnd"/>
      <w:r w:rsidRPr="00AE3D05">
        <w:rPr>
          <w:rFonts w:ascii="Verdana" w:hAnsi="Verdana"/>
          <w:sz w:val="18"/>
          <w:szCs w:val="18"/>
        </w:rPr>
        <w:t xml:space="preserve"> catalytic centers are useful for converting inert molecules, such as CO</w:t>
      </w:r>
      <w:r w:rsidRPr="00AE3D05">
        <w:rPr>
          <w:rFonts w:ascii="Verdana" w:hAnsi="Verdana"/>
          <w:sz w:val="18"/>
          <w:szCs w:val="18"/>
          <w:vertAlign w:val="subscript"/>
        </w:rPr>
        <w:t>2</w:t>
      </w:r>
      <w:r w:rsidRPr="00AE3D05">
        <w:rPr>
          <w:rFonts w:ascii="Verdana" w:hAnsi="Verdana"/>
          <w:sz w:val="18"/>
          <w:szCs w:val="18"/>
        </w:rPr>
        <w:t>, into value-added products. For example, an enzyme expressed natively in some anaerobic microorganisms, nickel-iron carbon monoxide dehydrogenase ([</w:t>
      </w:r>
      <w:proofErr w:type="spellStart"/>
      <w:r w:rsidRPr="00AE3D05">
        <w:rPr>
          <w:rFonts w:ascii="Verdana" w:hAnsi="Verdana"/>
          <w:sz w:val="18"/>
          <w:szCs w:val="18"/>
        </w:rPr>
        <w:t>NiFe</w:t>
      </w:r>
      <w:proofErr w:type="spellEnd"/>
      <w:r w:rsidRPr="00AE3D05">
        <w:rPr>
          <w:rFonts w:ascii="Verdana" w:hAnsi="Verdana"/>
          <w:sz w:val="18"/>
          <w:szCs w:val="18"/>
        </w:rPr>
        <w:t>]-CODH), contains a NiFe</w:t>
      </w:r>
      <w:r w:rsidRPr="00AE3D05">
        <w:rPr>
          <w:rFonts w:ascii="Verdana" w:hAnsi="Verdana"/>
          <w:sz w:val="18"/>
          <w:szCs w:val="18"/>
          <w:vertAlign w:val="subscript"/>
        </w:rPr>
        <w:t>4</w:t>
      </w:r>
      <w:r w:rsidRPr="00AE3D05">
        <w:rPr>
          <w:rFonts w:ascii="Verdana" w:hAnsi="Verdana"/>
          <w:sz w:val="18"/>
          <w:szCs w:val="18"/>
        </w:rPr>
        <w:t>S</w:t>
      </w:r>
      <w:r w:rsidRPr="00AE3D05">
        <w:rPr>
          <w:rFonts w:ascii="Verdana" w:hAnsi="Verdana"/>
          <w:sz w:val="18"/>
          <w:szCs w:val="18"/>
          <w:vertAlign w:val="subscript"/>
        </w:rPr>
        <w:t>4</w:t>
      </w:r>
      <w:r w:rsidRPr="00AE3D05">
        <w:rPr>
          <w:rFonts w:ascii="Verdana" w:hAnsi="Verdana"/>
          <w:sz w:val="18"/>
          <w:szCs w:val="18"/>
        </w:rPr>
        <w:t xml:space="preserve"> cluster active site at which CO</w:t>
      </w:r>
      <w:r w:rsidRPr="00AE3D05">
        <w:rPr>
          <w:rFonts w:ascii="Verdana" w:hAnsi="Verdana"/>
          <w:sz w:val="18"/>
          <w:szCs w:val="18"/>
          <w:vertAlign w:val="subscript"/>
        </w:rPr>
        <w:t>2</w:t>
      </w:r>
      <w:r w:rsidRPr="00AE3D05">
        <w:rPr>
          <w:rFonts w:ascii="Verdana" w:hAnsi="Verdana"/>
          <w:sz w:val="18"/>
          <w:szCs w:val="18"/>
        </w:rPr>
        <w:t xml:space="preserve">-CO conversion happens at inoffensive temperatures and pressures. Inspired by the potential cooperativity between nickel and the other transition metals in the cluster, as well as from examples of synthetic </w:t>
      </w:r>
      <w:proofErr w:type="spellStart"/>
      <w:r w:rsidRPr="00AE3D05">
        <w:rPr>
          <w:rFonts w:ascii="Verdana" w:hAnsi="Verdana"/>
          <w:sz w:val="18"/>
          <w:szCs w:val="18"/>
        </w:rPr>
        <w:t>multimetallic</w:t>
      </w:r>
      <w:proofErr w:type="spellEnd"/>
      <w:r w:rsidRPr="00AE3D05">
        <w:rPr>
          <w:rFonts w:ascii="Verdana" w:hAnsi="Verdana"/>
          <w:sz w:val="18"/>
          <w:szCs w:val="18"/>
        </w:rPr>
        <w:t xml:space="preserve"> CO</w:t>
      </w:r>
      <w:r w:rsidRPr="00AE3D05">
        <w:rPr>
          <w:rFonts w:ascii="Verdana" w:hAnsi="Verdana"/>
          <w:sz w:val="18"/>
          <w:szCs w:val="18"/>
          <w:vertAlign w:val="subscript"/>
        </w:rPr>
        <w:t>2</w:t>
      </w:r>
      <w:r w:rsidRPr="00AE3D05">
        <w:rPr>
          <w:rFonts w:ascii="Verdana" w:hAnsi="Verdana"/>
          <w:sz w:val="18"/>
          <w:szCs w:val="18"/>
        </w:rPr>
        <w:t xml:space="preserve"> reduction catalysts incorporating nickel, we aimed to synthesize a class of trimetallic Ni</w:t>
      </w:r>
      <w:r w:rsidRPr="00AE3D05">
        <w:rPr>
          <w:rFonts w:ascii="Verdana" w:hAnsi="Verdana"/>
          <w:sz w:val="18"/>
          <w:szCs w:val="18"/>
          <w:vertAlign w:val="subscript"/>
        </w:rPr>
        <w:t>2</w:t>
      </w:r>
      <w:r w:rsidRPr="00AE3D05">
        <w:rPr>
          <w:rFonts w:ascii="Verdana" w:hAnsi="Verdana"/>
          <w:sz w:val="18"/>
          <w:szCs w:val="18"/>
        </w:rPr>
        <w:t>M</w:t>
      </w:r>
      <w:r w:rsidRPr="00AE3D05">
        <w:rPr>
          <w:rFonts w:ascii="Verdana" w:hAnsi="Verdana"/>
          <w:b/>
          <w:bCs/>
          <w:sz w:val="18"/>
          <w:szCs w:val="18"/>
        </w:rPr>
        <w:t>L1</w:t>
      </w:r>
      <w:r w:rsidRPr="00AE3D05">
        <w:rPr>
          <w:rFonts w:ascii="Verdana" w:hAnsi="Verdana"/>
          <w:sz w:val="18"/>
          <w:szCs w:val="18"/>
        </w:rPr>
        <w:t xml:space="preserve"> (M = transition metal; </w:t>
      </w:r>
      <w:r w:rsidRPr="00AE3D05">
        <w:rPr>
          <w:rFonts w:ascii="Verdana" w:hAnsi="Verdana"/>
          <w:b/>
          <w:bCs/>
          <w:sz w:val="18"/>
          <w:szCs w:val="18"/>
        </w:rPr>
        <w:t>L1</w:t>
      </w:r>
      <w:r w:rsidRPr="00AE3D05">
        <w:rPr>
          <w:rFonts w:ascii="Verdana" w:hAnsi="Verdana"/>
          <w:sz w:val="18"/>
          <w:szCs w:val="18"/>
        </w:rPr>
        <w:t xml:space="preserve"> = 6,6’-di(N-imidazolate)-2,2’-bipyridyl) complexes and test their reactivity towards CO</w:t>
      </w:r>
      <w:r w:rsidRPr="00AE3D05">
        <w:rPr>
          <w:rFonts w:ascii="Verdana" w:hAnsi="Verdana"/>
          <w:sz w:val="18"/>
          <w:szCs w:val="18"/>
          <w:vertAlign w:val="subscript"/>
        </w:rPr>
        <w:t>2</w:t>
      </w:r>
      <w:r w:rsidRPr="00AE3D05">
        <w:rPr>
          <w:rFonts w:ascii="Verdana" w:hAnsi="Verdana"/>
          <w:sz w:val="18"/>
          <w:szCs w:val="18"/>
        </w:rPr>
        <w:t xml:space="preserve"> reduction. Presently we report the synthesis of two iron compounds and a titanium complex which represent progress towards a </w:t>
      </w:r>
      <w:proofErr w:type="spellStart"/>
      <w:r w:rsidRPr="00AE3D05">
        <w:rPr>
          <w:rFonts w:ascii="Verdana" w:hAnsi="Verdana"/>
          <w:sz w:val="18"/>
          <w:szCs w:val="18"/>
        </w:rPr>
        <w:t>multimetallic</w:t>
      </w:r>
      <w:proofErr w:type="spellEnd"/>
      <w:r w:rsidRPr="00AE3D05">
        <w:rPr>
          <w:rFonts w:ascii="Verdana" w:hAnsi="Verdana"/>
          <w:sz w:val="18"/>
          <w:szCs w:val="18"/>
        </w:rPr>
        <w:t xml:space="preserve"> catalyst whose reactivity may mimic that of the [</w:t>
      </w:r>
      <w:proofErr w:type="spellStart"/>
      <w:r w:rsidRPr="00AE3D05">
        <w:rPr>
          <w:rFonts w:ascii="Verdana" w:hAnsi="Verdana"/>
          <w:sz w:val="18"/>
          <w:szCs w:val="18"/>
        </w:rPr>
        <w:t>NiFe</w:t>
      </w:r>
      <w:proofErr w:type="spellEnd"/>
      <w:r w:rsidRPr="00AE3D05">
        <w:rPr>
          <w:rFonts w:ascii="Verdana" w:hAnsi="Verdana"/>
          <w:sz w:val="18"/>
          <w:szCs w:val="18"/>
        </w:rPr>
        <w:t xml:space="preserve">]-CODH C-cluster. </w:t>
      </w:r>
      <w:proofErr w:type="gramStart"/>
      <w:r w:rsidRPr="00AE3D05">
        <w:rPr>
          <w:rFonts w:ascii="Verdana" w:hAnsi="Verdana"/>
          <w:sz w:val="18"/>
          <w:szCs w:val="18"/>
        </w:rPr>
        <w:t>In particular, a</w:t>
      </w:r>
      <w:proofErr w:type="gramEnd"/>
      <w:r w:rsidRPr="00AE3D05">
        <w:rPr>
          <w:rFonts w:ascii="Verdana" w:hAnsi="Verdana"/>
          <w:sz w:val="18"/>
          <w:szCs w:val="18"/>
        </w:rPr>
        <w:t xml:space="preserve"> C</w:t>
      </w:r>
      <w:r w:rsidRPr="00AE3D05">
        <w:rPr>
          <w:rFonts w:ascii="Verdana" w:hAnsi="Verdana"/>
          <w:sz w:val="18"/>
          <w:szCs w:val="18"/>
          <w:vertAlign w:val="subscript"/>
        </w:rPr>
        <w:t>2</w:t>
      </w:r>
      <w:r w:rsidRPr="00AE3D05">
        <w:rPr>
          <w:rFonts w:ascii="Verdana" w:hAnsi="Verdana"/>
          <w:sz w:val="18"/>
          <w:szCs w:val="18"/>
        </w:rPr>
        <w:t xml:space="preserve">-symmetric </w:t>
      </w:r>
      <w:proofErr w:type="spellStart"/>
      <w:r w:rsidRPr="00AE3D05">
        <w:rPr>
          <w:rFonts w:ascii="Verdana" w:hAnsi="Verdana"/>
          <w:sz w:val="18"/>
          <w:szCs w:val="18"/>
        </w:rPr>
        <w:t>tetrairon</w:t>
      </w:r>
      <w:proofErr w:type="spellEnd"/>
      <w:r w:rsidRPr="00AE3D05">
        <w:rPr>
          <w:rFonts w:ascii="Verdana" w:hAnsi="Verdana"/>
          <w:sz w:val="18"/>
          <w:szCs w:val="18"/>
        </w:rPr>
        <w:t>-bis(</w:t>
      </w:r>
      <w:r w:rsidRPr="00AE3D05">
        <w:rPr>
          <w:rFonts w:ascii="Verdana" w:hAnsi="Verdana"/>
          <w:b/>
          <w:bCs/>
          <w:sz w:val="18"/>
          <w:szCs w:val="18"/>
        </w:rPr>
        <w:t>L1</w:t>
      </w:r>
      <w:r w:rsidRPr="00AE3D05">
        <w:rPr>
          <w:rFonts w:ascii="Verdana" w:hAnsi="Verdana"/>
          <w:sz w:val="18"/>
          <w:szCs w:val="18"/>
        </w:rPr>
        <w:t xml:space="preserve">) complex with an average oxidation state </w:t>
      </w:r>
      <w:proofErr w:type="gramStart"/>
      <w:r w:rsidRPr="00AE3D05">
        <w:rPr>
          <w:rFonts w:ascii="Verdana" w:hAnsi="Verdana"/>
          <w:sz w:val="18"/>
          <w:szCs w:val="18"/>
        </w:rPr>
        <w:t>Fe(</w:t>
      </w:r>
      <w:proofErr w:type="gramEnd"/>
      <w:r w:rsidRPr="00AE3D05">
        <w:rPr>
          <w:rFonts w:ascii="Verdana" w:hAnsi="Verdana"/>
          <w:sz w:val="18"/>
          <w:szCs w:val="18"/>
        </w:rPr>
        <w:t>1.5) exhibiting Fe-Fe bonding (2.329 Å), a diiron(pro-</w:t>
      </w:r>
      <w:r w:rsidRPr="00AE3D05">
        <w:rPr>
          <w:rFonts w:ascii="Verdana" w:hAnsi="Verdana"/>
          <w:b/>
          <w:bCs/>
          <w:sz w:val="18"/>
          <w:szCs w:val="18"/>
        </w:rPr>
        <w:t>L1</w:t>
      </w:r>
      <w:r w:rsidRPr="00AE3D05">
        <w:rPr>
          <w:rFonts w:ascii="Verdana" w:hAnsi="Verdana"/>
          <w:sz w:val="18"/>
          <w:szCs w:val="18"/>
        </w:rPr>
        <w:t>) complex, and a complex with a central titanium are synthesized.</w:t>
      </w:r>
    </w:p>
    <w:p w14:paraId="4061F364" w14:textId="77777777" w:rsidR="0074221C" w:rsidRPr="00AE3D05" w:rsidRDefault="0074221C" w:rsidP="0074221C">
      <w:pPr>
        <w:jc w:val="both"/>
        <w:rPr>
          <w:rFonts w:ascii="Verdana" w:hAnsi="Verdana"/>
          <w:sz w:val="18"/>
          <w:szCs w:val="18"/>
        </w:rPr>
      </w:pPr>
    </w:p>
    <w:p w14:paraId="5A639BB8" w14:textId="77777777" w:rsidR="006F54DE" w:rsidRDefault="006F54DE" w:rsidP="006F54DE">
      <w:pPr>
        <w:rPr>
          <w:rFonts w:ascii="Verdana" w:eastAsia="Times New Roman" w:hAnsi="Verdana"/>
          <w:sz w:val="18"/>
          <w:szCs w:val="18"/>
        </w:rPr>
      </w:pPr>
      <w:r>
        <w:rPr>
          <w:rStyle w:val="Strong"/>
          <w:rFonts w:ascii="Verdana" w:eastAsia="Times New Roman" w:hAnsi="Verdana"/>
          <w:color w:val="000000"/>
          <w:sz w:val="18"/>
          <w:szCs w:val="18"/>
        </w:rPr>
        <w:t>Developing a charged palladium catalyst to synthesize photodegradable polyethylene</w:t>
      </w:r>
      <w:r>
        <w:rPr>
          <w:rFonts w:ascii="Verdana" w:eastAsia="Times New Roman" w:hAnsi="Verdana"/>
          <w:sz w:val="18"/>
          <w:szCs w:val="18"/>
        </w:rPr>
        <w:br/>
        <w:t>Chloe I. Hu Pesh</w:t>
      </w:r>
      <w:r>
        <w:rPr>
          <w:rFonts w:ascii="Verdana" w:eastAsia="Times New Roman" w:hAnsi="Verdana"/>
          <w:sz w:val="18"/>
          <w:szCs w:val="18"/>
        </w:rPr>
        <w:br/>
      </w:r>
      <w:r>
        <w:rPr>
          <w:rStyle w:val="Emphasis"/>
          <w:rFonts w:ascii="Verdana" w:eastAsia="Times New Roman" w:hAnsi="Verdana"/>
          <w:sz w:val="18"/>
          <w:szCs w:val="18"/>
        </w:rPr>
        <w:t>Mentors: Theodor Agapie and Jocelyn Y. Zhang</w:t>
      </w:r>
      <w:r>
        <w:rPr>
          <w:rFonts w:ascii="Verdana" w:eastAsia="Times New Roman" w:hAnsi="Verdana"/>
          <w:sz w:val="18"/>
          <w:szCs w:val="18"/>
        </w:rPr>
        <w:t xml:space="preserve"> </w:t>
      </w:r>
    </w:p>
    <w:p w14:paraId="3A59B9A9" w14:textId="77777777" w:rsidR="006F54DE" w:rsidRDefault="006F54DE" w:rsidP="006F54DE">
      <w:pPr>
        <w:pStyle w:val="NormalWeb"/>
        <w:rPr>
          <w:rFonts w:ascii="Verdana" w:hAnsi="Verdana"/>
          <w:sz w:val="18"/>
          <w:szCs w:val="18"/>
        </w:rPr>
      </w:pPr>
      <w:r>
        <w:rPr>
          <w:rFonts w:ascii="Verdana" w:hAnsi="Verdana"/>
          <w:sz w:val="18"/>
          <w:szCs w:val="18"/>
        </w:rPr>
        <w:t xml:space="preserve">Polyethylene persists in the environment long after its disposal because its inert carbon-carbon bonds are not readily hydrolyzed and resist photodegradation. When the polymer does eventually degrade, this degradation begins at sites of defects including unsaturated C=C bonds and carbonyls, making the intentional incorporation of these functionalities to the polymer an area of interest. Ethylene/carbon monoxide (E/CO) copolymers which include ketones have been found to be photodegradable while maintaining desirable commercial properties. Although researchers have only achieved single CO insertion in polyethylene, back-to-back CO insertion, which would create an even more photodegradable </w:t>
      </w:r>
      <w:proofErr w:type="gramStart"/>
      <w:r>
        <w:rPr>
          <w:rFonts w:ascii="Verdana" w:hAnsi="Verdana"/>
          <w:sz w:val="18"/>
          <w:szCs w:val="18"/>
        </w:rPr>
        <w:t>polymer</w:t>
      </w:r>
      <w:proofErr w:type="gramEnd"/>
      <w:r>
        <w:rPr>
          <w:rFonts w:ascii="Verdana" w:hAnsi="Verdana"/>
          <w:sz w:val="18"/>
          <w:szCs w:val="18"/>
        </w:rPr>
        <w:t xml:space="preserve"> has not been observed. This project works towards the synthesis of a charged palladium catalyst for the back-to-back insertion of CO into E/CO copolymers. The synthesized anionic catalyst will carry cationic counterions, which we hypothesize will form a thermodynamically favored 5-membered chelate with the diketone functionality formed after the second CO insertion, making back-to-back CO insertion more favorable.</w:t>
      </w:r>
    </w:p>
    <w:p w14:paraId="68FD6F35" w14:textId="77777777" w:rsidR="00035B66" w:rsidRDefault="00035B66">
      <w:pPr>
        <w:rPr>
          <w:rStyle w:val="Strong"/>
          <w:rFonts w:ascii="Verdana" w:eastAsia="Times New Roman" w:hAnsi="Verdana"/>
          <w:sz w:val="18"/>
          <w:szCs w:val="18"/>
        </w:rPr>
      </w:pPr>
      <w:r>
        <w:rPr>
          <w:rStyle w:val="Strong"/>
          <w:rFonts w:ascii="Verdana" w:eastAsia="Times New Roman" w:hAnsi="Verdana"/>
          <w:sz w:val="18"/>
          <w:szCs w:val="18"/>
        </w:rPr>
        <w:br w:type="page"/>
      </w:r>
    </w:p>
    <w:p w14:paraId="1F345DBD" w14:textId="5D999BDE" w:rsidR="006F54DE" w:rsidRDefault="006F54DE" w:rsidP="006F54DE">
      <w:pPr>
        <w:rPr>
          <w:rFonts w:ascii="Verdana" w:eastAsia="Times New Roman" w:hAnsi="Verdana"/>
          <w:sz w:val="18"/>
          <w:szCs w:val="18"/>
        </w:rPr>
      </w:pPr>
      <w:r>
        <w:rPr>
          <w:rStyle w:val="Strong"/>
          <w:rFonts w:ascii="Verdana" w:eastAsia="Times New Roman" w:hAnsi="Verdana"/>
          <w:sz w:val="18"/>
          <w:szCs w:val="18"/>
        </w:rPr>
        <w:lastRenderedPageBreak/>
        <w:t xml:space="preserve">Towards a convergent fragment-coupling approach of </w:t>
      </w:r>
      <w:proofErr w:type="spellStart"/>
      <w:r>
        <w:rPr>
          <w:rStyle w:val="Strong"/>
          <w:rFonts w:ascii="Verdana" w:eastAsia="Times New Roman" w:hAnsi="Verdana"/>
          <w:sz w:val="18"/>
          <w:szCs w:val="18"/>
        </w:rPr>
        <w:t>grayanane</w:t>
      </w:r>
      <w:proofErr w:type="spellEnd"/>
      <w:r>
        <w:rPr>
          <w:rStyle w:val="Strong"/>
          <w:rFonts w:ascii="Verdana" w:eastAsia="Times New Roman" w:hAnsi="Verdana"/>
          <w:sz w:val="18"/>
          <w:szCs w:val="18"/>
        </w:rPr>
        <w:t xml:space="preserve"> diterpenoids via selective lithium-halogen exchange of a vinyl dibromide</w:t>
      </w:r>
      <w:r>
        <w:rPr>
          <w:rFonts w:ascii="Verdana" w:eastAsia="Times New Roman" w:hAnsi="Verdana"/>
          <w:sz w:val="18"/>
          <w:szCs w:val="18"/>
        </w:rPr>
        <w:br/>
        <w:t>Zhehao Zhang</w:t>
      </w:r>
      <w:r>
        <w:rPr>
          <w:rFonts w:ascii="Verdana" w:eastAsia="Times New Roman" w:hAnsi="Verdana"/>
          <w:sz w:val="18"/>
          <w:szCs w:val="18"/>
        </w:rPr>
        <w:br/>
      </w:r>
      <w:r>
        <w:rPr>
          <w:rStyle w:val="Emphasis"/>
          <w:rFonts w:ascii="Verdana" w:eastAsia="Times New Roman" w:hAnsi="Verdana"/>
          <w:sz w:val="18"/>
          <w:szCs w:val="18"/>
        </w:rPr>
        <w:t>Mentors: Sarah E. Reisman and Joshua Belfield</w:t>
      </w:r>
      <w:r>
        <w:rPr>
          <w:rFonts w:ascii="Verdana" w:eastAsia="Times New Roman" w:hAnsi="Verdana"/>
          <w:sz w:val="18"/>
          <w:szCs w:val="18"/>
        </w:rPr>
        <w:t xml:space="preserve"> </w:t>
      </w:r>
    </w:p>
    <w:p w14:paraId="36FCF13B" w14:textId="77777777" w:rsidR="006F54DE" w:rsidRDefault="006F54DE" w:rsidP="006F54DE">
      <w:pPr>
        <w:pStyle w:val="NormalWeb"/>
        <w:rPr>
          <w:rFonts w:ascii="Verdana" w:hAnsi="Verdana"/>
          <w:sz w:val="18"/>
          <w:szCs w:val="18"/>
        </w:rPr>
      </w:pPr>
      <w:proofErr w:type="spellStart"/>
      <w:r>
        <w:rPr>
          <w:rFonts w:ascii="Verdana" w:hAnsi="Verdana"/>
          <w:sz w:val="18"/>
          <w:szCs w:val="18"/>
        </w:rPr>
        <w:t>Grayananes</w:t>
      </w:r>
      <w:proofErr w:type="spellEnd"/>
      <w:r>
        <w:rPr>
          <w:rFonts w:ascii="Verdana" w:hAnsi="Verdana"/>
          <w:sz w:val="18"/>
          <w:szCs w:val="18"/>
        </w:rPr>
        <w:t xml:space="preserve"> are a class of natural products (diterpenoids) with a fused 5/7/6/5 carbon skeletal structure, with the central 7-membered ring being of great synthetic challenge. Herein, we report our progress towards a fragment coupling strategy to forge the central 7-membered ring, via selective lithium-halogen exchange into a vinyl dibromide fragment. We report the successful synthesis and lithiation of the proposed vinyl dibromide fragment, as well as progress continuing from last SURF on developing the </w:t>
      </w:r>
      <w:proofErr w:type="spellStart"/>
      <w:proofErr w:type="gramStart"/>
      <w:r>
        <w:rPr>
          <w:rFonts w:ascii="Verdana" w:hAnsi="Verdana"/>
          <w:sz w:val="18"/>
          <w:szCs w:val="18"/>
        </w:rPr>
        <w:t>bicyclo</w:t>
      </w:r>
      <w:proofErr w:type="spellEnd"/>
      <w:r>
        <w:rPr>
          <w:rFonts w:ascii="Verdana" w:hAnsi="Verdana"/>
          <w:sz w:val="18"/>
          <w:szCs w:val="18"/>
        </w:rPr>
        <w:t>[3.2.1]octane</w:t>
      </w:r>
      <w:proofErr w:type="gramEnd"/>
      <w:r>
        <w:rPr>
          <w:rFonts w:ascii="Verdana" w:hAnsi="Verdana"/>
          <w:sz w:val="18"/>
          <w:szCs w:val="18"/>
        </w:rPr>
        <w:t xml:space="preserve"> fragment as a viable coupling partner. We envision that with both fragments in hand, two selective couplings will enable access to the </w:t>
      </w:r>
      <w:proofErr w:type="spellStart"/>
      <w:r>
        <w:rPr>
          <w:rFonts w:ascii="Verdana" w:hAnsi="Verdana"/>
          <w:sz w:val="18"/>
          <w:szCs w:val="18"/>
        </w:rPr>
        <w:t>Grayanane</w:t>
      </w:r>
      <w:proofErr w:type="spellEnd"/>
      <w:r>
        <w:rPr>
          <w:rFonts w:ascii="Verdana" w:hAnsi="Verdana"/>
          <w:sz w:val="18"/>
          <w:szCs w:val="18"/>
        </w:rPr>
        <w:t xml:space="preserve"> skeleton, which can be elaborated to targets such as </w:t>
      </w:r>
      <w:proofErr w:type="spellStart"/>
      <w:r>
        <w:rPr>
          <w:rFonts w:ascii="Verdana" w:hAnsi="Verdana"/>
          <w:sz w:val="18"/>
          <w:szCs w:val="18"/>
        </w:rPr>
        <w:t>Pieristoxin</w:t>
      </w:r>
      <w:proofErr w:type="spellEnd"/>
      <w:r>
        <w:rPr>
          <w:rFonts w:ascii="Verdana" w:hAnsi="Verdana"/>
          <w:sz w:val="18"/>
          <w:szCs w:val="18"/>
        </w:rPr>
        <w:t xml:space="preserve"> S.</w:t>
      </w:r>
    </w:p>
    <w:p w14:paraId="20BF288C" w14:textId="77777777" w:rsidR="006F54DE" w:rsidRDefault="006F54DE" w:rsidP="006F54DE">
      <w:pPr>
        <w:rPr>
          <w:rFonts w:ascii="Verdana" w:eastAsia="Times New Roman" w:hAnsi="Verdana"/>
          <w:sz w:val="18"/>
          <w:szCs w:val="18"/>
        </w:rPr>
      </w:pPr>
      <w:r>
        <w:rPr>
          <w:rStyle w:val="Strong"/>
          <w:rFonts w:ascii="Verdana" w:eastAsia="Times New Roman" w:hAnsi="Verdana"/>
          <w:sz w:val="18"/>
          <w:szCs w:val="18"/>
        </w:rPr>
        <w:t>Identifying and steering with interpretable features in protein models using sparse autoencoders</w:t>
      </w:r>
      <w:r>
        <w:rPr>
          <w:rFonts w:ascii="Verdana" w:eastAsia="Times New Roman" w:hAnsi="Verdana"/>
          <w:sz w:val="18"/>
          <w:szCs w:val="18"/>
        </w:rPr>
        <w:br/>
        <w:t>Ryan D. Yu</w:t>
      </w:r>
      <w:r>
        <w:rPr>
          <w:rFonts w:ascii="Verdana" w:eastAsia="Times New Roman" w:hAnsi="Verdana"/>
          <w:sz w:val="18"/>
          <w:szCs w:val="18"/>
        </w:rPr>
        <w:br/>
      </w:r>
      <w:r>
        <w:rPr>
          <w:rStyle w:val="Emphasis"/>
          <w:rFonts w:ascii="Verdana" w:eastAsia="Times New Roman" w:hAnsi="Verdana"/>
          <w:sz w:val="18"/>
          <w:szCs w:val="18"/>
        </w:rPr>
        <w:t xml:space="preserve">Mentors: Grant Rotskoff, Kara D. Fong, Jason Liu, and </w:t>
      </w:r>
      <w:proofErr w:type="spellStart"/>
      <w:r>
        <w:rPr>
          <w:rStyle w:val="Emphasis"/>
          <w:rFonts w:ascii="Verdana" w:eastAsia="Times New Roman" w:hAnsi="Verdana"/>
          <w:sz w:val="18"/>
          <w:szCs w:val="18"/>
        </w:rPr>
        <w:t>Soojung</w:t>
      </w:r>
      <w:proofErr w:type="spellEnd"/>
      <w:r>
        <w:rPr>
          <w:rStyle w:val="Emphasis"/>
          <w:rFonts w:ascii="Verdana" w:eastAsia="Times New Roman" w:hAnsi="Verdana"/>
          <w:sz w:val="18"/>
          <w:szCs w:val="18"/>
        </w:rPr>
        <w:t xml:space="preserve"> Yang</w:t>
      </w:r>
      <w:r>
        <w:rPr>
          <w:rFonts w:ascii="Verdana" w:eastAsia="Times New Roman" w:hAnsi="Verdana"/>
          <w:sz w:val="18"/>
          <w:szCs w:val="18"/>
        </w:rPr>
        <w:t xml:space="preserve"> </w:t>
      </w:r>
    </w:p>
    <w:p w14:paraId="60833A9B" w14:textId="77777777" w:rsidR="006F54DE" w:rsidRDefault="006F54DE" w:rsidP="006F54DE">
      <w:pPr>
        <w:pStyle w:val="NormalWeb"/>
        <w:rPr>
          <w:rFonts w:ascii="Verdana" w:hAnsi="Verdana"/>
          <w:sz w:val="18"/>
          <w:szCs w:val="18"/>
        </w:rPr>
      </w:pPr>
      <w:r>
        <w:rPr>
          <w:rFonts w:ascii="Verdana" w:hAnsi="Verdana"/>
          <w:sz w:val="18"/>
          <w:szCs w:val="18"/>
        </w:rPr>
        <w:t xml:space="preserve">Generative protein models have recently become one of the most important advances in modern biology. </w:t>
      </w:r>
      <w:proofErr w:type="gramStart"/>
      <w:r>
        <w:rPr>
          <w:rFonts w:ascii="Verdana" w:hAnsi="Verdana"/>
          <w:sz w:val="18"/>
          <w:szCs w:val="18"/>
        </w:rPr>
        <w:t>In particular, AlphaFold</w:t>
      </w:r>
      <w:proofErr w:type="gramEnd"/>
      <w:r>
        <w:rPr>
          <w:rFonts w:ascii="Verdana" w:hAnsi="Verdana"/>
          <w:sz w:val="18"/>
          <w:szCs w:val="18"/>
        </w:rPr>
        <w:t xml:space="preserve"> has become incredibly important for predicting protein structures without lengthy spectroscopy experiments. Other models like </w:t>
      </w:r>
      <w:proofErr w:type="spellStart"/>
      <w:r>
        <w:rPr>
          <w:rFonts w:ascii="Verdana" w:hAnsi="Verdana"/>
          <w:sz w:val="18"/>
          <w:szCs w:val="18"/>
        </w:rPr>
        <w:t>BioEmu</w:t>
      </w:r>
      <w:proofErr w:type="spellEnd"/>
      <w:r>
        <w:rPr>
          <w:rFonts w:ascii="Verdana" w:hAnsi="Verdana"/>
          <w:sz w:val="18"/>
          <w:szCs w:val="18"/>
        </w:rPr>
        <w:t xml:space="preserve"> add additional functionality like generating protein samples along a Boltzmann distribution. However, these models are still mostly black boxes. To improve general understanding of these models, we train sparse autoencoders on these generative protein models to identify features corresponding to structural and thermodynamic properties, as well as at what point in the model these features appear. From this, we show that these features can be used to steer generation towards desired properties.</w:t>
      </w:r>
    </w:p>
    <w:p w14:paraId="256C2B8B" w14:textId="77777777" w:rsidR="006F54DE" w:rsidRDefault="006F54DE" w:rsidP="006F54DE">
      <w:pPr>
        <w:rPr>
          <w:rFonts w:ascii="Verdana" w:eastAsia="Times New Roman" w:hAnsi="Verdana"/>
          <w:sz w:val="18"/>
          <w:szCs w:val="18"/>
        </w:rPr>
      </w:pPr>
      <w:r>
        <w:rPr>
          <w:rStyle w:val="Strong"/>
          <w:rFonts w:ascii="Verdana" w:eastAsia="Times New Roman" w:hAnsi="Verdana"/>
          <w:sz w:val="18"/>
          <w:szCs w:val="18"/>
        </w:rPr>
        <w:t>Engineering cpSRP43 for enhanced chaperone activity against amyloid aggregation through directed evolution </w:t>
      </w:r>
      <w:r>
        <w:rPr>
          <w:rFonts w:ascii="Verdana" w:eastAsia="Times New Roman" w:hAnsi="Verdana"/>
          <w:sz w:val="18"/>
          <w:szCs w:val="18"/>
        </w:rPr>
        <w:br/>
        <w:t>Fanhao Kong</w:t>
      </w:r>
      <w:r>
        <w:rPr>
          <w:rFonts w:ascii="Verdana" w:eastAsia="Times New Roman" w:hAnsi="Verdana"/>
          <w:sz w:val="18"/>
          <w:szCs w:val="18"/>
        </w:rPr>
        <w:br/>
      </w:r>
      <w:r>
        <w:rPr>
          <w:rStyle w:val="Emphasis"/>
          <w:rFonts w:ascii="Verdana" w:eastAsia="Times New Roman" w:hAnsi="Verdana"/>
          <w:sz w:val="18"/>
          <w:szCs w:val="18"/>
        </w:rPr>
        <w:t>Mentors: Shu-ou Shan and Bryce Yeazell</w:t>
      </w:r>
      <w:r>
        <w:rPr>
          <w:rFonts w:ascii="Verdana" w:eastAsia="Times New Roman" w:hAnsi="Verdana"/>
          <w:sz w:val="18"/>
          <w:szCs w:val="18"/>
        </w:rPr>
        <w:t xml:space="preserve"> </w:t>
      </w:r>
    </w:p>
    <w:p w14:paraId="41CF482A" w14:textId="77777777" w:rsidR="006F54DE" w:rsidRDefault="006F54DE" w:rsidP="006F54DE">
      <w:pPr>
        <w:pStyle w:val="NormalWeb"/>
        <w:rPr>
          <w:rFonts w:ascii="Verdana" w:hAnsi="Verdana"/>
          <w:sz w:val="18"/>
          <w:szCs w:val="18"/>
        </w:rPr>
      </w:pPr>
      <w:r>
        <w:rPr>
          <w:rFonts w:ascii="Verdana" w:hAnsi="Verdana"/>
          <w:sz w:val="18"/>
          <w:szCs w:val="18"/>
        </w:rPr>
        <w:t xml:space="preserve">Chloroplast signal recognition particle 43 (cpSRP43) </w:t>
      </w:r>
      <w:proofErr w:type="gramStart"/>
      <w:r>
        <w:rPr>
          <w:rFonts w:ascii="Verdana" w:hAnsi="Verdana"/>
          <w:sz w:val="18"/>
          <w:szCs w:val="18"/>
        </w:rPr>
        <w:t>is evolved</w:t>
      </w:r>
      <w:proofErr w:type="gramEnd"/>
      <w:r>
        <w:rPr>
          <w:rFonts w:ascii="Verdana" w:hAnsi="Verdana"/>
          <w:sz w:val="18"/>
          <w:szCs w:val="18"/>
        </w:rPr>
        <w:t xml:space="preserve"> to enhance its chaperone activity toward amyloidogenic aggregation-prone proteins, including α-synuclein and amyloid-β (Aβ), associated with neurodegenerative disease. The L189R mutation—a key allosteric residue predicted to stabilize the closed conformation of cpSRP43—was introduced into four previously evolved tailor-made molecular chaperones (TMMCs), and circular dichroism showed that L189R destabilizes the closed conformation of cpSRP43 at physiological </w:t>
      </w:r>
      <w:proofErr w:type="gramStart"/>
      <w:r>
        <w:rPr>
          <w:rFonts w:ascii="Verdana" w:hAnsi="Verdana"/>
          <w:sz w:val="18"/>
          <w:szCs w:val="18"/>
        </w:rPr>
        <w:t>temperature, and</w:t>
      </w:r>
      <w:proofErr w:type="gramEnd"/>
      <w:r>
        <w:rPr>
          <w:rFonts w:ascii="Verdana" w:hAnsi="Verdana"/>
          <w:sz w:val="18"/>
          <w:szCs w:val="18"/>
        </w:rPr>
        <w:t xml:space="preserve"> seeded α-synuclein fibrillation assays showed that L189R broadly impairs anti-fibrillation activity. In parallel, a single-region saturation-mutagenesis library targeting seven substrate-binding regions of cpSRP43 was constructed and is being screened against Aβ42 by </w:t>
      </w:r>
      <w:proofErr w:type="spellStart"/>
      <w:r>
        <w:rPr>
          <w:rFonts w:ascii="Verdana" w:hAnsi="Verdana"/>
          <w:sz w:val="18"/>
          <w:szCs w:val="18"/>
        </w:rPr>
        <w:t>HigB</w:t>
      </w:r>
      <w:proofErr w:type="spellEnd"/>
      <w:r>
        <w:rPr>
          <w:rFonts w:ascii="Verdana" w:hAnsi="Verdana"/>
          <w:sz w:val="18"/>
          <w:szCs w:val="18"/>
        </w:rPr>
        <w:t>/</w:t>
      </w:r>
      <w:proofErr w:type="spellStart"/>
      <w:r>
        <w:rPr>
          <w:rFonts w:ascii="Verdana" w:hAnsi="Verdana"/>
          <w:sz w:val="18"/>
          <w:szCs w:val="18"/>
        </w:rPr>
        <w:t>HigA</w:t>
      </w:r>
      <w:proofErr w:type="spellEnd"/>
      <w:r>
        <w:rPr>
          <w:rFonts w:ascii="Verdana" w:hAnsi="Verdana"/>
          <w:sz w:val="18"/>
          <w:szCs w:val="18"/>
        </w:rPr>
        <w:t xml:space="preserve"> Toxin-Antitoxin Chaperone Selection (HITACS). Variants beginning to emerge from this screen will inform combinatorial library design to probe epistasis and will serve as starting points for continuous directed evolution via the Orthogonal Replication System (</w:t>
      </w:r>
      <w:proofErr w:type="spellStart"/>
      <w:r>
        <w:rPr>
          <w:rFonts w:ascii="Verdana" w:hAnsi="Verdana"/>
          <w:sz w:val="18"/>
          <w:szCs w:val="18"/>
        </w:rPr>
        <w:t>OrthoRep</w:t>
      </w:r>
      <w:proofErr w:type="spellEnd"/>
      <w:r>
        <w:rPr>
          <w:rFonts w:ascii="Verdana" w:hAnsi="Verdana"/>
          <w:sz w:val="18"/>
          <w:szCs w:val="18"/>
        </w:rPr>
        <w:t>).</w:t>
      </w:r>
    </w:p>
    <w:p w14:paraId="481056D6" w14:textId="77777777" w:rsidR="006F54DE" w:rsidRDefault="006F54DE" w:rsidP="006F54DE">
      <w:pPr>
        <w:rPr>
          <w:rFonts w:ascii="Verdana" w:eastAsia="Times New Roman" w:hAnsi="Verdana"/>
          <w:sz w:val="18"/>
          <w:szCs w:val="18"/>
        </w:rPr>
      </w:pPr>
      <w:r>
        <w:rPr>
          <w:rStyle w:val="Strong"/>
          <w:rFonts w:ascii="Verdana" w:eastAsia="Times New Roman" w:hAnsi="Verdana"/>
          <w:sz w:val="18"/>
          <w:szCs w:val="18"/>
        </w:rPr>
        <w:t xml:space="preserve">Determining the chaperone activity and interaction interface of </w:t>
      </w:r>
      <w:r>
        <w:rPr>
          <w:rStyle w:val="Emphasis"/>
          <w:rFonts w:ascii="Verdana" w:eastAsia="Times New Roman" w:hAnsi="Verdana"/>
          <w:b/>
          <w:bCs/>
          <w:sz w:val="18"/>
          <w:szCs w:val="18"/>
        </w:rPr>
        <w:t>Chlamydomonas reinhardtii</w:t>
      </w:r>
      <w:r>
        <w:rPr>
          <w:rStyle w:val="Strong"/>
          <w:rFonts w:ascii="Verdana" w:eastAsia="Times New Roman" w:hAnsi="Verdana"/>
          <w:sz w:val="18"/>
          <w:szCs w:val="18"/>
        </w:rPr>
        <w:t xml:space="preserve"> chloroplast signal recognition particle to its client proteins</w:t>
      </w:r>
      <w:r>
        <w:rPr>
          <w:rFonts w:ascii="Verdana" w:eastAsia="Times New Roman" w:hAnsi="Verdana"/>
          <w:sz w:val="18"/>
          <w:szCs w:val="18"/>
        </w:rPr>
        <w:br/>
        <w:t>Muping Wang</w:t>
      </w:r>
      <w:r>
        <w:rPr>
          <w:rFonts w:ascii="Verdana" w:eastAsia="Times New Roman" w:hAnsi="Verdana"/>
          <w:sz w:val="18"/>
          <w:szCs w:val="18"/>
        </w:rPr>
        <w:br/>
      </w:r>
      <w:r>
        <w:rPr>
          <w:rStyle w:val="Emphasis"/>
          <w:rFonts w:ascii="Verdana" w:eastAsia="Times New Roman" w:hAnsi="Verdana"/>
          <w:sz w:val="18"/>
          <w:szCs w:val="18"/>
        </w:rPr>
        <w:t xml:space="preserve">Mentors: Shu-ou Shan and </w:t>
      </w:r>
      <w:proofErr w:type="spellStart"/>
      <w:r>
        <w:rPr>
          <w:rStyle w:val="Emphasis"/>
          <w:rFonts w:ascii="Verdana" w:eastAsia="Times New Roman" w:hAnsi="Verdana"/>
          <w:sz w:val="18"/>
          <w:szCs w:val="18"/>
        </w:rPr>
        <w:t>Yelim</w:t>
      </w:r>
      <w:proofErr w:type="spellEnd"/>
      <w:r>
        <w:rPr>
          <w:rStyle w:val="Emphasis"/>
          <w:rFonts w:ascii="Verdana" w:eastAsia="Times New Roman" w:hAnsi="Verdana"/>
          <w:sz w:val="18"/>
          <w:szCs w:val="18"/>
        </w:rPr>
        <w:t xml:space="preserve"> Yi</w:t>
      </w:r>
      <w:r>
        <w:rPr>
          <w:rFonts w:ascii="Verdana" w:eastAsia="Times New Roman" w:hAnsi="Verdana"/>
          <w:sz w:val="18"/>
          <w:szCs w:val="18"/>
        </w:rPr>
        <w:t xml:space="preserve"> </w:t>
      </w:r>
    </w:p>
    <w:p w14:paraId="7ACE0B17" w14:textId="2235C4AF" w:rsidR="009A54FA" w:rsidRPr="009A54FA" w:rsidRDefault="006F54DE" w:rsidP="009A54FA">
      <w:pPr>
        <w:pStyle w:val="NormalWeb"/>
        <w:rPr>
          <w:rStyle w:val="Strong"/>
          <w:rFonts w:ascii="Verdana" w:hAnsi="Verdana"/>
          <w:b w:val="0"/>
          <w:bCs w:val="0"/>
          <w:sz w:val="18"/>
          <w:szCs w:val="18"/>
        </w:rPr>
      </w:pPr>
      <w:r>
        <w:rPr>
          <w:rFonts w:ascii="Verdana" w:hAnsi="Verdana"/>
          <w:sz w:val="18"/>
          <w:szCs w:val="18"/>
        </w:rPr>
        <w:t xml:space="preserve">The 43-kDa subunit of the chloroplast signal recognition particle (cpSRP43) is a chaperone protein that protects proteins relevant to the assembly of the light-harvesting complex (LHC) in chloroplasts. Past research in </w:t>
      </w:r>
      <w:r>
        <w:rPr>
          <w:rStyle w:val="Emphasis"/>
          <w:rFonts w:ascii="Verdana" w:hAnsi="Verdana"/>
          <w:sz w:val="18"/>
          <w:szCs w:val="18"/>
        </w:rPr>
        <w:t>Arabidopsis thaliana (A. thaliana)</w:t>
      </w:r>
      <w:r>
        <w:rPr>
          <w:rFonts w:ascii="Verdana" w:hAnsi="Verdana"/>
          <w:sz w:val="18"/>
          <w:szCs w:val="18"/>
        </w:rPr>
        <w:t xml:space="preserve">, a model plant, has demonstrated that </w:t>
      </w:r>
      <w:r>
        <w:rPr>
          <w:rStyle w:val="Emphasis"/>
          <w:rFonts w:ascii="Verdana" w:hAnsi="Verdana"/>
          <w:sz w:val="18"/>
          <w:szCs w:val="18"/>
        </w:rPr>
        <w:t xml:space="preserve">A. thaliana </w:t>
      </w:r>
      <w:r>
        <w:rPr>
          <w:rFonts w:ascii="Verdana" w:hAnsi="Verdana"/>
          <w:sz w:val="18"/>
          <w:szCs w:val="18"/>
        </w:rPr>
        <w:t xml:space="preserve">cpSRP43 is a dual-function chaperone that both protects light-harvesting chlorophyll </w:t>
      </w:r>
      <w:r>
        <w:rPr>
          <w:rStyle w:val="Emphasis"/>
          <w:rFonts w:ascii="Verdana" w:hAnsi="Verdana"/>
          <w:sz w:val="18"/>
          <w:szCs w:val="18"/>
        </w:rPr>
        <w:t>a</w:t>
      </w:r>
      <w:r>
        <w:rPr>
          <w:rFonts w:ascii="Verdana" w:hAnsi="Verdana"/>
          <w:sz w:val="18"/>
          <w:szCs w:val="18"/>
        </w:rPr>
        <w:t>/</w:t>
      </w:r>
      <w:r>
        <w:rPr>
          <w:rStyle w:val="Emphasis"/>
          <w:rFonts w:ascii="Verdana" w:hAnsi="Verdana"/>
          <w:sz w:val="18"/>
          <w:szCs w:val="18"/>
        </w:rPr>
        <w:t>b</w:t>
      </w:r>
      <w:r>
        <w:rPr>
          <w:rFonts w:ascii="Verdana" w:hAnsi="Verdana"/>
          <w:sz w:val="18"/>
          <w:szCs w:val="18"/>
        </w:rPr>
        <w:t xml:space="preserve">-binding proteins (LHCPs) in transit to the thylakoid membrane and protects GENOMES UNCOUPLED 4 (GUN4) in the tetrapyrrole biosynthesis (TBS) pathway from heat stress. However, the chaperone activity of </w:t>
      </w:r>
      <w:r>
        <w:rPr>
          <w:rFonts w:ascii="Verdana" w:hAnsi="Verdana"/>
          <w:sz w:val="18"/>
          <w:szCs w:val="18"/>
        </w:rPr>
        <w:lastRenderedPageBreak/>
        <w:t xml:space="preserve">cpSRP43 is not well-understood in algae. Here, we demonstrate that cpSRP43 in </w:t>
      </w:r>
      <w:r>
        <w:rPr>
          <w:rStyle w:val="Emphasis"/>
          <w:rFonts w:ascii="Verdana" w:hAnsi="Verdana"/>
          <w:sz w:val="18"/>
          <w:szCs w:val="18"/>
        </w:rPr>
        <w:t>Chlamydomonas reinhardtii (C. reinhardtii)</w:t>
      </w:r>
      <w:r>
        <w:rPr>
          <w:rFonts w:ascii="Verdana" w:hAnsi="Verdana"/>
          <w:sz w:val="18"/>
          <w:szCs w:val="18"/>
        </w:rPr>
        <w:t xml:space="preserve">, a model alga, has GUN4-specific chaperone activity. Via light scattering assays, we show that GUN4 is disaggregated by </w:t>
      </w:r>
      <w:r>
        <w:rPr>
          <w:rStyle w:val="Emphasis"/>
          <w:rFonts w:ascii="Verdana" w:hAnsi="Verdana"/>
          <w:sz w:val="18"/>
          <w:szCs w:val="18"/>
        </w:rPr>
        <w:t>C. reinhardtii</w:t>
      </w:r>
      <w:r>
        <w:rPr>
          <w:rFonts w:ascii="Verdana" w:hAnsi="Verdana"/>
          <w:sz w:val="18"/>
          <w:szCs w:val="18"/>
        </w:rPr>
        <w:t xml:space="preserve"> cpSRP43 in a concentration dependent manner. We also show </w:t>
      </w:r>
      <w:r>
        <w:rPr>
          <w:rStyle w:val="Emphasis"/>
          <w:rFonts w:ascii="Verdana" w:hAnsi="Verdana"/>
          <w:sz w:val="18"/>
          <w:szCs w:val="18"/>
        </w:rPr>
        <w:t>C. reinhardtii</w:t>
      </w:r>
      <w:r>
        <w:rPr>
          <w:rFonts w:ascii="Verdana" w:hAnsi="Verdana"/>
          <w:sz w:val="18"/>
          <w:szCs w:val="18"/>
        </w:rPr>
        <w:t xml:space="preserve"> cpSRP43 has weak chaperone activity against LHCB5, a representative LHCP and weak binding to the L11 peptide, a conserved cpSRP43 recognition sequence in LHCPs. Our cross-linking coupled with mass spectrometric studies further identified the binding interface of </w:t>
      </w:r>
      <w:r>
        <w:rPr>
          <w:rStyle w:val="Emphasis"/>
          <w:rFonts w:ascii="Verdana" w:hAnsi="Verdana"/>
          <w:sz w:val="18"/>
          <w:szCs w:val="18"/>
        </w:rPr>
        <w:t xml:space="preserve">C. reinhardtii </w:t>
      </w:r>
      <w:r>
        <w:rPr>
          <w:rFonts w:ascii="Verdana" w:hAnsi="Verdana"/>
          <w:sz w:val="18"/>
          <w:szCs w:val="18"/>
        </w:rPr>
        <w:t xml:space="preserve">cpSRP43 to GUN4. This information can be used to engineer </w:t>
      </w:r>
      <w:r>
        <w:rPr>
          <w:rStyle w:val="Emphasis"/>
          <w:rFonts w:ascii="Verdana" w:hAnsi="Verdana"/>
          <w:sz w:val="18"/>
          <w:szCs w:val="18"/>
        </w:rPr>
        <w:t xml:space="preserve">C. reinhardtii </w:t>
      </w:r>
      <w:r>
        <w:rPr>
          <w:rFonts w:ascii="Verdana" w:hAnsi="Verdana"/>
          <w:sz w:val="18"/>
          <w:szCs w:val="18"/>
        </w:rPr>
        <w:t xml:space="preserve">cpSRP43 variants with alternate chaperone activity to modify the assembly of the LHC, and in turn, improve the photosynthetic efficiency of </w:t>
      </w:r>
      <w:r>
        <w:rPr>
          <w:rStyle w:val="Emphasis"/>
          <w:rFonts w:ascii="Verdana" w:hAnsi="Verdana"/>
          <w:sz w:val="18"/>
          <w:szCs w:val="18"/>
        </w:rPr>
        <w:t>C. reinhardtii</w:t>
      </w:r>
      <w:r>
        <w:rPr>
          <w:rFonts w:ascii="Verdana" w:hAnsi="Verdana"/>
          <w:sz w:val="18"/>
          <w:szCs w:val="18"/>
        </w:rPr>
        <w:t>.</w:t>
      </w:r>
    </w:p>
    <w:p w14:paraId="75F55049" w14:textId="4D8C7010" w:rsidR="006F54DE" w:rsidRDefault="006F54DE" w:rsidP="006F54DE">
      <w:pPr>
        <w:rPr>
          <w:rFonts w:ascii="Verdana" w:eastAsia="Times New Roman" w:hAnsi="Verdana"/>
          <w:sz w:val="18"/>
          <w:szCs w:val="18"/>
        </w:rPr>
      </w:pPr>
      <w:r>
        <w:rPr>
          <w:rStyle w:val="Strong"/>
          <w:rFonts w:ascii="Verdana" w:eastAsia="Times New Roman" w:hAnsi="Verdana"/>
          <w:color w:val="000000"/>
          <w:sz w:val="18"/>
          <w:szCs w:val="18"/>
        </w:rPr>
        <w:t>[4+2] Cycloaddition on β-</w:t>
      </w:r>
      <w:proofErr w:type="spellStart"/>
      <w:r>
        <w:rPr>
          <w:rStyle w:val="Strong"/>
          <w:rFonts w:ascii="Verdana" w:eastAsia="Times New Roman" w:hAnsi="Verdana"/>
          <w:color w:val="000000"/>
          <w:sz w:val="18"/>
          <w:szCs w:val="18"/>
        </w:rPr>
        <w:t>ketoester</w:t>
      </w:r>
      <w:proofErr w:type="spellEnd"/>
      <w:r>
        <w:rPr>
          <w:rStyle w:val="Strong"/>
          <w:rFonts w:ascii="Verdana" w:eastAsia="Times New Roman" w:hAnsi="Verdana"/>
          <w:color w:val="000000"/>
          <w:sz w:val="18"/>
          <w:szCs w:val="18"/>
        </w:rPr>
        <w:t xml:space="preserve"> with tethered alkene and siloxane tether</w:t>
      </w:r>
      <w:r>
        <w:rPr>
          <w:rFonts w:ascii="Verdana" w:eastAsia="Times New Roman" w:hAnsi="Verdana"/>
          <w:sz w:val="18"/>
          <w:szCs w:val="18"/>
        </w:rPr>
        <w:br/>
        <w:t>Sarah E. Madden</w:t>
      </w:r>
      <w:r>
        <w:rPr>
          <w:rFonts w:ascii="Verdana" w:eastAsia="Times New Roman" w:hAnsi="Verdana"/>
          <w:sz w:val="18"/>
          <w:szCs w:val="18"/>
        </w:rPr>
        <w:br/>
      </w:r>
      <w:r>
        <w:rPr>
          <w:rStyle w:val="Emphasis"/>
          <w:rFonts w:ascii="Verdana" w:eastAsia="Times New Roman" w:hAnsi="Verdana"/>
          <w:sz w:val="18"/>
          <w:szCs w:val="18"/>
        </w:rPr>
        <w:t>Mentors: Brian M. Stoltz and Sara Siddiqui</w:t>
      </w:r>
      <w:r>
        <w:rPr>
          <w:rFonts w:ascii="Verdana" w:eastAsia="Times New Roman" w:hAnsi="Verdana"/>
          <w:sz w:val="18"/>
          <w:szCs w:val="18"/>
        </w:rPr>
        <w:t xml:space="preserve"> </w:t>
      </w:r>
    </w:p>
    <w:p w14:paraId="361DB901" w14:textId="08C314A1" w:rsidR="009A54FA" w:rsidRPr="0074221C" w:rsidRDefault="006F54DE" w:rsidP="0074221C">
      <w:pPr>
        <w:pStyle w:val="NormalWeb"/>
        <w:rPr>
          <w:rStyle w:val="Strong"/>
          <w:rFonts w:ascii="Verdana" w:hAnsi="Verdana"/>
          <w:b w:val="0"/>
          <w:bCs w:val="0"/>
          <w:sz w:val="18"/>
          <w:szCs w:val="18"/>
        </w:rPr>
      </w:pPr>
      <w:r>
        <w:rPr>
          <w:rFonts w:ascii="Verdana" w:hAnsi="Verdana"/>
          <w:color w:val="000000"/>
          <w:sz w:val="18"/>
          <w:szCs w:val="18"/>
        </w:rPr>
        <w:t xml:space="preserve">Metal-catalyzed allylic alkylation is a well-explored process that allows for the synthesis of organic molecules. </w:t>
      </w:r>
      <w:proofErr w:type="gramStart"/>
      <w:r>
        <w:rPr>
          <w:rFonts w:ascii="Verdana" w:hAnsi="Verdana"/>
          <w:color w:val="000000"/>
          <w:sz w:val="18"/>
          <w:szCs w:val="18"/>
        </w:rPr>
        <w:t>In particular, variations</w:t>
      </w:r>
      <w:proofErr w:type="gramEnd"/>
      <w:r>
        <w:rPr>
          <w:rFonts w:ascii="Verdana" w:hAnsi="Verdana"/>
          <w:color w:val="000000"/>
          <w:sz w:val="18"/>
          <w:szCs w:val="18"/>
        </w:rPr>
        <w:t xml:space="preserve"> of decarboxylative asymmetric allylic alkylation have been studied extensively on β-</w:t>
      </w:r>
      <w:proofErr w:type="spellStart"/>
      <w:r>
        <w:rPr>
          <w:rFonts w:ascii="Verdana" w:hAnsi="Verdana"/>
          <w:color w:val="000000"/>
          <w:sz w:val="18"/>
          <w:szCs w:val="18"/>
        </w:rPr>
        <w:t>ketoesters</w:t>
      </w:r>
      <w:proofErr w:type="spellEnd"/>
      <w:r>
        <w:rPr>
          <w:rFonts w:ascii="Verdana" w:hAnsi="Verdana"/>
          <w:color w:val="000000"/>
          <w:sz w:val="18"/>
          <w:szCs w:val="18"/>
        </w:rPr>
        <w:t xml:space="preserve"> over the last several years. Protonation, conjugate addition, and the aldol reaction have been performed on variations of a chiral palladium enolate already, as well as a [4+2] cycloaddition. </w:t>
      </w:r>
      <w:proofErr w:type="gramStart"/>
      <w:r>
        <w:rPr>
          <w:rFonts w:ascii="Verdana" w:hAnsi="Verdana"/>
          <w:color w:val="000000"/>
          <w:sz w:val="18"/>
          <w:szCs w:val="18"/>
        </w:rPr>
        <w:t>In order to</w:t>
      </w:r>
      <w:proofErr w:type="gramEnd"/>
      <w:r>
        <w:rPr>
          <w:rFonts w:ascii="Verdana" w:hAnsi="Verdana"/>
          <w:color w:val="000000"/>
          <w:sz w:val="18"/>
          <w:szCs w:val="18"/>
        </w:rPr>
        <w:t xml:space="preserve"> access a more diverse variety of products and scaffolds with a palladium enolate undergoing a [4+2] cycloaddition, we are modifying the β-</w:t>
      </w:r>
      <w:proofErr w:type="spellStart"/>
      <w:r>
        <w:rPr>
          <w:rFonts w:ascii="Verdana" w:hAnsi="Verdana"/>
          <w:color w:val="000000"/>
          <w:sz w:val="18"/>
          <w:szCs w:val="18"/>
        </w:rPr>
        <w:t>ketoester</w:t>
      </w:r>
      <w:proofErr w:type="spellEnd"/>
      <w:r>
        <w:rPr>
          <w:rFonts w:ascii="Verdana" w:hAnsi="Verdana"/>
          <w:color w:val="000000"/>
          <w:sz w:val="18"/>
          <w:szCs w:val="18"/>
        </w:rPr>
        <w:t xml:space="preserve"> substrate commonly used by the Stoltz lab. We are appending an alkyne tethered to the </w:t>
      </w:r>
      <w:proofErr w:type="spellStart"/>
      <w:r>
        <w:rPr>
          <w:rFonts w:ascii="Verdana" w:hAnsi="Verdana"/>
          <w:color w:val="000000"/>
          <w:sz w:val="18"/>
          <w:szCs w:val="18"/>
        </w:rPr>
        <w:t>enone</w:t>
      </w:r>
      <w:proofErr w:type="spellEnd"/>
      <w:r>
        <w:rPr>
          <w:rFonts w:ascii="Verdana" w:hAnsi="Verdana"/>
          <w:color w:val="000000"/>
          <w:sz w:val="18"/>
          <w:szCs w:val="18"/>
        </w:rPr>
        <w:t xml:space="preserve"> through a siloxane linker, which will serve as a synthetic handle for further product manipulation. The siloxane will likely break the five-membered carbocycle that has formed on past attempts of a [4+2] cycloaddition on similar substrates within the lab. Then, we will test and refine the conditions of the [4+2] cycloaddition on this substrate.</w:t>
      </w:r>
    </w:p>
    <w:p w14:paraId="69F5AD3A" w14:textId="3EFB1B09" w:rsidR="006F54DE" w:rsidRDefault="006F54DE" w:rsidP="006F54DE">
      <w:pPr>
        <w:rPr>
          <w:rFonts w:ascii="Verdana" w:eastAsia="Times New Roman" w:hAnsi="Verdana"/>
          <w:sz w:val="18"/>
          <w:szCs w:val="18"/>
        </w:rPr>
      </w:pPr>
      <w:r>
        <w:rPr>
          <w:rStyle w:val="Strong"/>
          <w:rFonts w:ascii="Verdana" w:eastAsia="Times New Roman" w:hAnsi="Verdana"/>
          <w:color w:val="333333"/>
          <w:sz w:val="18"/>
          <w:szCs w:val="18"/>
        </w:rPr>
        <w:t xml:space="preserve">Approaching the total synthesis of </w:t>
      </w:r>
      <w:proofErr w:type="spellStart"/>
      <w:r>
        <w:rPr>
          <w:rStyle w:val="Strong"/>
          <w:rFonts w:ascii="Verdana" w:eastAsia="Times New Roman" w:hAnsi="Verdana"/>
          <w:color w:val="333333"/>
          <w:sz w:val="18"/>
          <w:szCs w:val="18"/>
        </w:rPr>
        <w:t>Phorbasone</w:t>
      </w:r>
      <w:proofErr w:type="spellEnd"/>
      <w:r>
        <w:rPr>
          <w:rStyle w:val="Strong"/>
          <w:rFonts w:ascii="Verdana" w:eastAsia="Times New Roman" w:hAnsi="Verdana"/>
          <w:color w:val="333333"/>
          <w:sz w:val="18"/>
          <w:szCs w:val="18"/>
        </w:rPr>
        <w:t xml:space="preserve"> A</w:t>
      </w:r>
      <w:r>
        <w:rPr>
          <w:rFonts w:ascii="Verdana" w:eastAsia="Times New Roman" w:hAnsi="Verdana"/>
          <w:sz w:val="18"/>
          <w:szCs w:val="18"/>
        </w:rPr>
        <w:br/>
        <w:t>William R. Putzer, Jr.</w:t>
      </w:r>
      <w:r>
        <w:rPr>
          <w:rFonts w:ascii="Verdana" w:eastAsia="Times New Roman" w:hAnsi="Verdana"/>
          <w:sz w:val="18"/>
          <w:szCs w:val="18"/>
        </w:rPr>
        <w:br/>
      </w:r>
      <w:r>
        <w:rPr>
          <w:rStyle w:val="Emphasis"/>
          <w:rFonts w:ascii="Verdana" w:eastAsia="Times New Roman" w:hAnsi="Verdana"/>
          <w:sz w:val="18"/>
          <w:szCs w:val="18"/>
        </w:rPr>
        <w:t>Mentors: Brian M. Stoltz and Sean Corman</w:t>
      </w:r>
      <w:r>
        <w:rPr>
          <w:rFonts w:ascii="Verdana" w:eastAsia="Times New Roman" w:hAnsi="Verdana"/>
          <w:sz w:val="18"/>
          <w:szCs w:val="18"/>
        </w:rPr>
        <w:t xml:space="preserve"> </w:t>
      </w:r>
    </w:p>
    <w:p w14:paraId="11036ABB" w14:textId="77777777" w:rsidR="006F54DE" w:rsidRDefault="006F54DE" w:rsidP="006F54DE">
      <w:pPr>
        <w:pStyle w:val="NormalWeb"/>
        <w:rPr>
          <w:rFonts w:ascii="Verdana" w:hAnsi="Verdana"/>
          <w:sz w:val="18"/>
          <w:szCs w:val="18"/>
        </w:rPr>
      </w:pPr>
      <w:r>
        <w:rPr>
          <w:rFonts w:ascii="Verdana" w:hAnsi="Verdana"/>
          <w:color w:val="333333"/>
          <w:sz w:val="18"/>
          <w:szCs w:val="18"/>
        </w:rPr>
        <w:t xml:space="preserve">In this paper, we aim to conduct a total synthesis of </w:t>
      </w:r>
      <w:proofErr w:type="spellStart"/>
      <w:r>
        <w:rPr>
          <w:rFonts w:ascii="Verdana" w:hAnsi="Verdana"/>
          <w:color w:val="333333"/>
          <w:sz w:val="18"/>
          <w:szCs w:val="18"/>
        </w:rPr>
        <w:t>Phorbasone</w:t>
      </w:r>
      <w:proofErr w:type="spellEnd"/>
      <w:r>
        <w:rPr>
          <w:rFonts w:ascii="Verdana" w:hAnsi="Verdana"/>
          <w:color w:val="333333"/>
          <w:sz w:val="18"/>
          <w:szCs w:val="18"/>
        </w:rPr>
        <w:t xml:space="preserve"> A, a complex natural product isolated from marine sponges. We explore a synthetic pathway that is currently proposed to start with cheap, </w:t>
      </w:r>
      <w:proofErr w:type="gramStart"/>
      <w:r>
        <w:rPr>
          <w:rFonts w:ascii="Verdana" w:hAnsi="Verdana"/>
          <w:color w:val="333333"/>
          <w:sz w:val="18"/>
          <w:szCs w:val="18"/>
        </w:rPr>
        <w:t>commercially-available</w:t>
      </w:r>
      <w:proofErr w:type="gramEnd"/>
      <w:r>
        <w:rPr>
          <w:rFonts w:ascii="Verdana" w:hAnsi="Verdana"/>
          <w:color w:val="333333"/>
          <w:sz w:val="18"/>
          <w:szCs w:val="18"/>
        </w:rPr>
        <w:t xml:space="preserve"> materials (R)-carvone and </w:t>
      </w:r>
      <w:proofErr w:type="spellStart"/>
      <w:r>
        <w:rPr>
          <w:rFonts w:ascii="Verdana" w:hAnsi="Verdana"/>
          <w:color w:val="333333"/>
          <w:sz w:val="18"/>
          <w:szCs w:val="18"/>
        </w:rPr>
        <w:t>dimethylcyclohexanone</w:t>
      </w:r>
      <w:proofErr w:type="spellEnd"/>
      <w:r>
        <w:rPr>
          <w:rFonts w:ascii="Verdana" w:hAnsi="Verdana"/>
          <w:color w:val="333333"/>
          <w:sz w:val="18"/>
          <w:szCs w:val="18"/>
        </w:rPr>
        <w:t xml:space="preserve">. A series of chemical reactions transform the starting materials until the resultant fragments are at last joined together via a Suzuki coupling. Synthesis of the western fragment (originating from </w:t>
      </w:r>
      <w:proofErr w:type="spellStart"/>
      <w:r>
        <w:rPr>
          <w:rFonts w:ascii="Verdana" w:hAnsi="Verdana"/>
          <w:color w:val="333333"/>
          <w:sz w:val="18"/>
          <w:szCs w:val="18"/>
        </w:rPr>
        <w:t>dimethylcyclohexanone</w:t>
      </w:r>
      <w:proofErr w:type="spellEnd"/>
      <w:r>
        <w:rPr>
          <w:rFonts w:ascii="Verdana" w:hAnsi="Verdana"/>
          <w:color w:val="333333"/>
          <w:sz w:val="18"/>
          <w:szCs w:val="18"/>
        </w:rPr>
        <w:t>) has been demonstrated, while synthesis of the eastern fragment (originating from (R)-carvone) is still under speculation and experimentation.</w:t>
      </w:r>
    </w:p>
    <w:p w14:paraId="4B22478C" w14:textId="77777777" w:rsidR="006F54DE" w:rsidRDefault="006F54DE" w:rsidP="00C924CC">
      <w:pPr>
        <w:pStyle w:val="NormalWeb"/>
        <w:jc w:val="center"/>
        <w:rPr>
          <w:rFonts w:ascii="Verdana" w:hAnsi="Verdana"/>
          <w:sz w:val="18"/>
          <w:szCs w:val="18"/>
        </w:rPr>
      </w:pPr>
      <w:r>
        <w:rPr>
          <w:rStyle w:val="Strong"/>
          <w:rFonts w:ascii="Verdana" w:hAnsi="Verdana"/>
          <w:noProof/>
          <w:color w:val="000000"/>
          <w:sz w:val="18"/>
          <w:szCs w:val="18"/>
        </w:rPr>
        <w:drawing>
          <wp:inline distT="0" distB="0" distL="0" distR="0" wp14:anchorId="5908D1F2" wp14:editId="28C86B2A">
            <wp:extent cx="5953125" cy="1524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53125" cy="1524000"/>
                    </a:xfrm>
                    <a:prstGeom prst="rect">
                      <a:avLst/>
                    </a:prstGeom>
                    <a:noFill/>
                    <a:ln>
                      <a:noFill/>
                    </a:ln>
                  </pic:spPr>
                </pic:pic>
              </a:graphicData>
            </a:graphic>
          </wp:inline>
        </w:drawing>
      </w:r>
    </w:p>
    <w:p w14:paraId="468C3BB5" w14:textId="77777777" w:rsidR="00035B66" w:rsidRDefault="00035B66">
      <w:pPr>
        <w:rPr>
          <w:rStyle w:val="Strong"/>
          <w:rFonts w:ascii="Verdana" w:eastAsia="Times New Roman" w:hAnsi="Verdana"/>
          <w:color w:val="000000"/>
          <w:sz w:val="18"/>
          <w:szCs w:val="18"/>
        </w:rPr>
      </w:pPr>
      <w:r>
        <w:rPr>
          <w:rStyle w:val="Strong"/>
          <w:rFonts w:ascii="Verdana" w:eastAsia="Times New Roman" w:hAnsi="Verdana"/>
          <w:color w:val="000000"/>
          <w:sz w:val="18"/>
          <w:szCs w:val="18"/>
        </w:rPr>
        <w:br w:type="page"/>
      </w:r>
    </w:p>
    <w:p w14:paraId="7D1FA7DD" w14:textId="683B5080" w:rsidR="006F54DE" w:rsidRDefault="006F54DE" w:rsidP="006F54DE">
      <w:pPr>
        <w:rPr>
          <w:rFonts w:ascii="Verdana" w:eastAsia="Times New Roman" w:hAnsi="Verdana"/>
          <w:sz w:val="18"/>
          <w:szCs w:val="18"/>
        </w:rPr>
      </w:pPr>
      <w:r>
        <w:rPr>
          <w:rStyle w:val="Strong"/>
          <w:rFonts w:ascii="Verdana" w:eastAsia="Times New Roman" w:hAnsi="Verdana"/>
          <w:color w:val="000000"/>
          <w:sz w:val="18"/>
          <w:szCs w:val="18"/>
        </w:rPr>
        <w:lastRenderedPageBreak/>
        <w:t>Extending temperature control capabilities for Laser-driven Ultrafast Impedance Spectroscopy</w:t>
      </w:r>
      <w:r>
        <w:rPr>
          <w:rFonts w:ascii="Verdana" w:eastAsia="Times New Roman" w:hAnsi="Verdana"/>
          <w:sz w:val="18"/>
          <w:szCs w:val="18"/>
        </w:rPr>
        <w:br/>
        <w:t>Jack S. Yu</w:t>
      </w:r>
      <w:r>
        <w:rPr>
          <w:rFonts w:ascii="Verdana" w:eastAsia="Times New Roman" w:hAnsi="Verdana"/>
          <w:sz w:val="18"/>
          <w:szCs w:val="18"/>
        </w:rPr>
        <w:br/>
      </w:r>
      <w:r>
        <w:rPr>
          <w:rStyle w:val="Emphasis"/>
          <w:rFonts w:ascii="Verdana" w:eastAsia="Times New Roman" w:hAnsi="Verdana"/>
          <w:sz w:val="18"/>
          <w:szCs w:val="18"/>
        </w:rPr>
        <w:t>Mentors: Scott K. Cushing, Amy Lin, and Natan Spear</w:t>
      </w:r>
      <w:r>
        <w:rPr>
          <w:rFonts w:ascii="Verdana" w:eastAsia="Times New Roman" w:hAnsi="Verdana"/>
          <w:sz w:val="18"/>
          <w:szCs w:val="18"/>
        </w:rPr>
        <w:t xml:space="preserve"> </w:t>
      </w:r>
    </w:p>
    <w:p w14:paraId="4277B99A" w14:textId="77777777" w:rsidR="006F54DE" w:rsidRDefault="006F54DE" w:rsidP="006F54DE">
      <w:pPr>
        <w:pStyle w:val="NormalWeb"/>
        <w:rPr>
          <w:rFonts w:ascii="Verdana" w:hAnsi="Verdana"/>
          <w:sz w:val="18"/>
          <w:szCs w:val="18"/>
        </w:rPr>
      </w:pPr>
      <w:r>
        <w:rPr>
          <w:rFonts w:ascii="Verdana" w:hAnsi="Verdana"/>
          <w:sz w:val="18"/>
          <w:szCs w:val="18"/>
        </w:rPr>
        <w:t>Solid-state electrolytes are promising materials for next-generation batteries due to their potential to improve safety and energy density compared to conventional liquid electrolytes. However, the microscopic mechanisms that enable rapid ion transport through these materials remain incompletely understood. Recent studies suggest that lattice vibrations, or phonons, influence how ions move through a crystal structure, but directly determining how these vibrations affect ionic transport remains experimentally challenging. This project develops a temperature-controlled sample stage for Laser-driven Ultrafast Impedance Spectroscopy (LUIS), a technique that uses laser excitation to probe changes in ion hopping on ultrafast timescales. The stage uses thermoelectric cooling to control the temperature of solid-state electrolyte samples, allowing the equilibrium population of thermal phonons to be systematically varied. Temperature-dependent LUIS measurements will be demonstrated using systematic selenium substitutions in sodium thiophosphate (Na</w:t>
      </w:r>
      <w:r>
        <w:rPr>
          <w:rFonts w:ascii="Verdana" w:hAnsi="Verdana"/>
          <w:sz w:val="18"/>
          <w:szCs w:val="18"/>
          <w:vertAlign w:val="subscript"/>
        </w:rPr>
        <w:t>3</w:t>
      </w:r>
      <w:r>
        <w:rPr>
          <w:rFonts w:ascii="Verdana" w:hAnsi="Verdana"/>
          <w:sz w:val="18"/>
          <w:szCs w:val="18"/>
        </w:rPr>
        <w:t>PS</w:t>
      </w:r>
      <w:r>
        <w:rPr>
          <w:rFonts w:ascii="Verdana" w:hAnsi="Verdana"/>
          <w:sz w:val="18"/>
          <w:szCs w:val="18"/>
          <w:vertAlign w:val="subscript"/>
        </w:rPr>
        <w:t>4-x</w:t>
      </w:r>
      <w:r>
        <w:rPr>
          <w:rFonts w:ascii="Verdana" w:hAnsi="Verdana"/>
          <w:sz w:val="18"/>
          <w:szCs w:val="18"/>
        </w:rPr>
        <w:t>Se</w:t>
      </w:r>
      <w:r>
        <w:rPr>
          <w:rFonts w:ascii="Verdana" w:hAnsi="Verdana"/>
          <w:sz w:val="18"/>
          <w:szCs w:val="18"/>
          <w:vertAlign w:val="subscript"/>
        </w:rPr>
        <w:t>x</w:t>
      </w:r>
      <w:r>
        <w:rPr>
          <w:rFonts w:ascii="Verdana" w:hAnsi="Verdana"/>
          <w:sz w:val="18"/>
          <w:szCs w:val="18"/>
        </w:rPr>
        <w:t>), a highly conductive solid-state electrolyte, to examine how changes in the initial phonon population influence phonon-ion coupling. Ultimately, the integration of temperature control into LUIS provides an additional experimental parameter to systematically compare ion transport across different temperatures and materials, enabling a better understanding of the factors governing ionic conduction.</w:t>
      </w:r>
    </w:p>
    <w:p w14:paraId="5EA7EE16" w14:textId="28AED633" w:rsidR="00423394" w:rsidRPr="00E94637" w:rsidRDefault="00423394" w:rsidP="009A54FA">
      <w:pPr>
        <w:rPr>
          <w:rStyle w:val="Strong"/>
          <w:rFonts w:ascii="Verdana" w:eastAsia="Times New Roman" w:hAnsi="Verdana"/>
          <w:sz w:val="22"/>
          <w:szCs w:val="22"/>
        </w:rPr>
      </w:pPr>
    </w:p>
    <w:sectPr w:rsidR="00423394" w:rsidRPr="00E94637" w:rsidSect="006B1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C73F" w14:textId="77777777" w:rsidR="00373287" w:rsidRDefault="00373287" w:rsidP="006B1F7C">
      <w:r>
        <w:separator/>
      </w:r>
    </w:p>
  </w:endnote>
  <w:endnote w:type="continuationSeparator" w:id="0">
    <w:p w14:paraId="2AA5D273" w14:textId="77777777" w:rsidR="00373287" w:rsidRDefault="00373287" w:rsidP="006B1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0A6B" w14:textId="77777777" w:rsidR="00373287" w:rsidRDefault="00373287" w:rsidP="006B1F7C">
      <w:r>
        <w:separator/>
      </w:r>
    </w:p>
  </w:footnote>
  <w:footnote w:type="continuationSeparator" w:id="0">
    <w:p w14:paraId="6EB25DA2" w14:textId="77777777" w:rsidR="00373287" w:rsidRDefault="00373287" w:rsidP="006B1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010D" w14:textId="7CE980BE" w:rsidR="00FB039B" w:rsidRDefault="00475AC9" w:rsidP="00FB039B">
    <w:pPr>
      <w:pStyle w:val="Header"/>
      <w:rPr>
        <w:rFonts w:ascii="Verdana" w:hAnsi="Verdana"/>
        <w:b/>
        <w:bCs/>
        <w:sz w:val="18"/>
        <w:szCs w:val="18"/>
      </w:rPr>
    </w:pPr>
    <w:r>
      <w:tab/>
    </w:r>
    <w:r>
      <w:tab/>
    </w:r>
    <w:r w:rsidR="009A54FA">
      <w:rPr>
        <w:rFonts w:ascii="Verdana" w:hAnsi="Verdana"/>
        <w:b/>
        <w:bCs/>
        <w:sz w:val="18"/>
        <w:szCs w:val="18"/>
      </w:rPr>
      <w:t>Session D Abstracts</w:t>
    </w:r>
  </w:p>
  <w:p w14:paraId="253088A4" w14:textId="77777777" w:rsidR="00F0712A" w:rsidRPr="00FB039B" w:rsidRDefault="00F0712A" w:rsidP="00FB039B">
    <w:pPr>
      <w:pStyle w:val="Header"/>
      <w:rPr>
        <w:rFonts w:ascii="Verdana" w:hAnsi="Verdana"/>
        <w:b/>
        <w:bCs/>
        <w:sz w:val="18"/>
        <w:szCs w:val="18"/>
      </w:rPr>
    </w:pPr>
  </w:p>
  <w:p w14:paraId="7307E8E2" w14:textId="0C80F4F7" w:rsidR="006B1F7C" w:rsidRDefault="006B1F7C">
    <w:pPr>
      <w:pStyle w:val="Header"/>
    </w:pPr>
  </w:p>
  <w:p w14:paraId="3F098771" w14:textId="77777777" w:rsidR="006B1F7C" w:rsidRDefault="006B1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0B04" w14:textId="1241C346" w:rsidR="006B1F7C" w:rsidRPr="00FB039B" w:rsidRDefault="006B1F7C">
    <w:pPr>
      <w:pStyle w:val="Header"/>
      <w:rPr>
        <w:rFonts w:ascii="Verdana" w:hAnsi="Verdana"/>
        <w:b/>
        <w:bCs/>
        <w:sz w:val="18"/>
        <w:szCs w:val="18"/>
      </w:rPr>
    </w:pPr>
    <w:bookmarkStart w:id="0" w:name="_Hlk210737957"/>
    <w:bookmarkStart w:id="1" w:name="_Hlk210737958"/>
    <w:bookmarkStart w:id="2" w:name="_Hlk210737978"/>
    <w:bookmarkStart w:id="3" w:name="_Hlk210737979"/>
    <w:bookmarkStart w:id="4" w:name="_Hlk210737991"/>
    <w:bookmarkStart w:id="5" w:name="_Hlk210737992"/>
    <w:bookmarkStart w:id="6" w:name="_Hlk210738507"/>
    <w:bookmarkStart w:id="7" w:name="_Hlk210738508"/>
    <w:bookmarkStart w:id="8" w:name="_Hlk210738909"/>
    <w:bookmarkStart w:id="9" w:name="_Hlk210738910"/>
    <w:bookmarkStart w:id="10" w:name="_Hlk210739297"/>
    <w:bookmarkStart w:id="11" w:name="_Hlk210739298"/>
    <w:bookmarkStart w:id="12" w:name="_Hlk210739544"/>
    <w:bookmarkStart w:id="13" w:name="_Hlk210739545"/>
    <w:r>
      <w:rPr>
        <w:rFonts w:ascii="Trebuchet MS" w:hAnsi="Trebuchet MS"/>
        <w:b/>
        <w:noProof/>
        <w:sz w:val="28"/>
        <w:szCs w:val="28"/>
      </w:rPr>
      <w:drawing>
        <wp:anchor distT="0" distB="0" distL="114300" distR="114300" simplePos="0" relativeHeight="251659264" behindDoc="1" locked="0" layoutInCell="1" allowOverlap="1" wp14:anchorId="031B4630" wp14:editId="52BD4547">
          <wp:simplePos x="0" y="0"/>
          <wp:positionH relativeFrom="margin">
            <wp:align>left</wp:align>
          </wp:positionH>
          <wp:positionV relativeFrom="paragraph">
            <wp:posOffset>-304800</wp:posOffset>
          </wp:positionV>
          <wp:extent cx="2133600" cy="798195"/>
          <wp:effectExtent l="0" t="0" r="0" b="0"/>
          <wp:wrapTight wrapText="bothSides">
            <wp:wrapPolygon edited="0">
              <wp:start x="193" y="2578"/>
              <wp:lineTo x="193" y="15981"/>
              <wp:lineTo x="3664" y="17012"/>
              <wp:lineTo x="14271" y="18043"/>
              <wp:lineTo x="17936" y="18043"/>
              <wp:lineTo x="20057" y="17012"/>
              <wp:lineTo x="21214" y="14950"/>
              <wp:lineTo x="21407" y="5155"/>
              <wp:lineTo x="18707" y="4124"/>
              <wp:lineTo x="4629" y="2578"/>
              <wp:lineTo x="193" y="2578"/>
            </wp:wrapPolygon>
          </wp:wrapTight>
          <wp:docPr id="965823565" name="Picture 2" descr="A logo with orange and blue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32007" name="Picture 2" descr="A logo with orange and blue squares"/>
                  <pic:cNvPicPr/>
                </pic:nvPicPr>
                <pic:blipFill rotWithShape="1">
                  <a:blip r:embed="rId1">
                    <a:extLst>
                      <a:ext uri="{28A0092B-C50C-407E-A947-70E740481C1C}">
                        <a14:useLocalDpi xmlns:a14="http://schemas.microsoft.com/office/drawing/2010/main" val="0"/>
                      </a:ext>
                    </a:extLst>
                  </a:blip>
                  <a:srcRect l="4999" t="35590" r="4226" b="30418"/>
                  <a:stretch>
                    <a:fillRect/>
                  </a:stretch>
                </pic:blipFill>
                <pic:spPr bwMode="auto">
                  <a:xfrm>
                    <a:off x="0" y="0"/>
                    <a:ext cx="2133600" cy="798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r w:rsidR="00475AC9">
      <w:tab/>
    </w:r>
    <w:r w:rsidR="00475AC9">
      <w:tab/>
    </w:r>
    <w:r w:rsidR="009A54FA">
      <w:rPr>
        <w:rFonts w:ascii="Verdana" w:hAnsi="Verdana"/>
        <w:b/>
        <w:bCs/>
        <w:sz w:val="18"/>
        <w:szCs w:val="18"/>
      </w:rPr>
      <w:t>Session D Abstracts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E7"/>
    <w:rsid w:val="00035B66"/>
    <w:rsid w:val="000608B3"/>
    <w:rsid w:val="000A5368"/>
    <w:rsid w:val="00112065"/>
    <w:rsid w:val="001F4F18"/>
    <w:rsid w:val="00373287"/>
    <w:rsid w:val="003C4483"/>
    <w:rsid w:val="003D3F7D"/>
    <w:rsid w:val="00407E46"/>
    <w:rsid w:val="00423394"/>
    <w:rsid w:val="00461AF4"/>
    <w:rsid w:val="00475AC9"/>
    <w:rsid w:val="0049213B"/>
    <w:rsid w:val="0049646A"/>
    <w:rsid w:val="004B783D"/>
    <w:rsid w:val="004D2A52"/>
    <w:rsid w:val="00542D79"/>
    <w:rsid w:val="00594E8C"/>
    <w:rsid w:val="005B31DF"/>
    <w:rsid w:val="005E217A"/>
    <w:rsid w:val="006457FE"/>
    <w:rsid w:val="00663933"/>
    <w:rsid w:val="006B1F7C"/>
    <w:rsid w:val="006F54DE"/>
    <w:rsid w:val="0074221C"/>
    <w:rsid w:val="007D2ED8"/>
    <w:rsid w:val="008E5CD3"/>
    <w:rsid w:val="009864AA"/>
    <w:rsid w:val="009A54FA"/>
    <w:rsid w:val="00A7770D"/>
    <w:rsid w:val="00AE45A4"/>
    <w:rsid w:val="00B275D9"/>
    <w:rsid w:val="00BC3558"/>
    <w:rsid w:val="00C05DE7"/>
    <w:rsid w:val="00C513D2"/>
    <w:rsid w:val="00C924CC"/>
    <w:rsid w:val="00CE5BCA"/>
    <w:rsid w:val="00D93C9A"/>
    <w:rsid w:val="00E9322E"/>
    <w:rsid w:val="00F0712A"/>
    <w:rsid w:val="00F13604"/>
    <w:rsid w:val="00FB0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46EF7"/>
  <w15:chartTrackingRefBased/>
  <w15:docId w15:val="{40FF15DA-37FD-4CA0-88F3-72E0E2EC8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msonormal0">
    <w:name w:val="msonormal"/>
    <w:basedOn w:val="Normal"/>
    <w:pPr>
      <w:spacing w:before="240" w:after="240"/>
    </w:pPr>
  </w:style>
  <w:style w:type="paragraph" w:styleId="NormalWeb">
    <w:name w:val="Normal (Web)"/>
    <w:basedOn w:val="Normal"/>
    <w:uiPriority w:val="99"/>
    <w:unhideWhenUsed/>
    <w:pPr>
      <w:spacing w:before="240" w:after="240"/>
    </w:pPr>
  </w:style>
  <w:style w:type="paragraph" w:customStyle="1" w:styleId="ql-align-justify">
    <w:name w:val="ql-align-justify"/>
    <w:basedOn w:val="Normal"/>
    <w:pPr>
      <w:spacing w:before="240" w:after="240"/>
    </w:pPr>
  </w:style>
  <w:style w:type="paragraph" w:styleId="Header">
    <w:name w:val="header"/>
    <w:basedOn w:val="Normal"/>
    <w:link w:val="HeaderChar"/>
    <w:uiPriority w:val="99"/>
    <w:unhideWhenUsed/>
    <w:rsid w:val="006B1F7C"/>
    <w:pPr>
      <w:tabs>
        <w:tab w:val="center" w:pos="4680"/>
        <w:tab w:val="right" w:pos="9360"/>
      </w:tabs>
    </w:pPr>
  </w:style>
  <w:style w:type="character" w:customStyle="1" w:styleId="HeaderChar">
    <w:name w:val="Header Char"/>
    <w:basedOn w:val="DefaultParagraphFont"/>
    <w:link w:val="Header"/>
    <w:uiPriority w:val="99"/>
    <w:rsid w:val="006B1F7C"/>
    <w:rPr>
      <w:rFonts w:eastAsiaTheme="minorEastAsia"/>
      <w:sz w:val="24"/>
      <w:szCs w:val="24"/>
    </w:rPr>
  </w:style>
  <w:style w:type="paragraph" w:styleId="Footer">
    <w:name w:val="footer"/>
    <w:basedOn w:val="Normal"/>
    <w:link w:val="FooterChar"/>
    <w:uiPriority w:val="99"/>
    <w:unhideWhenUsed/>
    <w:rsid w:val="006B1F7C"/>
    <w:pPr>
      <w:tabs>
        <w:tab w:val="center" w:pos="4680"/>
        <w:tab w:val="right" w:pos="9360"/>
      </w:tabs>
    </w:pPr>
  </w:style>
  <w:style w:type="character" w:customStyle="1" w:styleId="FooterChar">
    <w:name w:val="Footer Char"/>
    <w:basedOn w:val="DefaultParagraphFont"/>
    <w:link w:val="Footer"/>
    <w:uiPriority w:val="99"/>
    <w:rsid w:val="006B1F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7477">
      <w:marLeft w:val="0"/>
      <w:marRight w:val="0"/>
      <w:marTop w:val="0"/>
      <w:marBottom w:val="300"/>
      <w:divBdr>
        <w:top w:val="none" w:sz="0" w:space="0" w:color="auto"/>
        <w:left w:val="none" w:sz="0" w:space="0" w:color="auto"/>
        <w:bottom w:val="none" w:sz="0" w:space="0" w:color="auto"/>
        <w:right w:val="none" w:sz="0" w:space="0" w:color="auto"/>
      </w:divBdr>
    </w:div>
    <w:div w:id="618150271">
      <w:marLeft w:val="0"/>
      <w:marRight w:val="0"/>
      <w:marTop w:val="0"/>
      <w:marBottom w:val="300"/>
      <w:divBdr>
        <w:top w:val="none" w:sz="0" w:space="0" w:color="auto"/>
        <w:left w:val="none" w:sz="0" w:space="0" w:color="auto"/>
        <w:bottom w:val="none" w:sz="0" w:space="0" w:color="auto"/>
        <w:right w:val="none" w:sz="0" w:space="0" w:color="auto"/>
      </w:divBdr>
    </w:div>
    <w:div w:id="773134977">
      <w:marLeft w:val="0"/>
      <w:marRight w:val="0"/>
      <w:marTop w:val="0"/>
      <w:marBottom w:val="300"/>
      <w:divBdr>
        <w:top w:val="none" w:sz="0" w:space="0" w:color="auto"/>
        <w:left w:val="none" w:sz="0" w:space="0" w:color="auto"/>
        <w:bottom w:val="none" w:sz="0" w:space="0" w:color="auto"/>
        <w:right w:val="none" w:sz="0" w:space="0" w:color="auto"/>
      </w:divBdr>
    </w:div>
    <w:div w:id="1250970935">
      <w:marLeft w:val="0"/>
      <w:marRight w:val="0"/>
      <w:marTop w:val="0"/>
      <w:marBottom w:val="300"/>
      <w:divBdr>
        <w:top w:val="none" w:sz="0" w:space="0" w:color="auto"/>
        <w:left w:val="none" w:sz="0" w:space="0" w:color="auto"/>
        <w:bottom w:val="none" w:sz="0" w:space="0" w:color="auto"/>
        <w:right w:val="none" w:sz="0" w:space="0" w:color="auto"/>
      </w:divBdr>
    </w:div>
    <w:div w:id="1270966224">
      <w:marLeft w:val="0"/>
      <w:marRight w:val="0"/>
      <w:marTop w:val="0"/>
      <w:marBottom w:val="300"/>
      <w:divBdr>
        <w:top w:val="none" w:sz="0" w:space="0" w:color="auto"/>
        <w:left w:val="none" w:sz="0" w:space="0" w:color="auto"/>
        <w:bottom w:val="none" w:sz="0" w:space="0" w:color="auto"/>
        <w:right w:val="none" w:sz="0" w:space="0" w:color="auto"/>
      </w:divBdr>
    </w:div>
    <w:div w:id="1463494970">
      <w:marLeft w:val="0"/>
      <w:marRight w:val="0"/>
      <w:marTop w:val="0"/>
      <w:marBottom w:val="300"/>
      <w:divBdr>
        <w:top w:val="none" w:sz="0" w:space="0" w:color="auto"/>
        <w:left w:val="none" w:sz="0" w:space="0" w:color="auto"/>
        <w:bottom w:val="none" w:sz="0" w:space="0" w:color="auto"/>
        <w:right w:val="none" w:sz="0" w:space="0" w:color="auto"/>
      </w:divBdr>
    </w:div>
    <w:div w:id="1519807971">
      <w:marLeft w:val="0"/>
      <w:marRight w:val="0"/>
      <w:marTop w:val="0"/>
      <w:marBottom w:val="300"/>
      <w:divBdr>
        <w:top w:val="none" w:sz="0" w:space="0" w:color="auto"/>
        <w:left w:val="none" w:sz="0" w:space="0" w:color="auto"/>
        <w:bottom w:val="none" w:sz="0" w:space="0" w:color="auto"/>
        <w:right w:val="none" w:sz="0" w:space="0" w:color="auto"/>
      </w:divBdr>
    </w:div>
    <w:div w:id="1662853541">
      <w:marLeft w:val="0"/>
      <w:marRight w:val="0"/>
      <w:marTop w:val="0"/>
      <w:marBottom w:val="300"/>
      <w:divBdr>
        <w:top w:val="none" w:sz="0" w:space="0" w:color="auto"/>
        <w:left w:val="none" w:sz="0" w:space="0" w:color="auto"/>
        <w:bottom w:val="none" w:sz="0" w:space="0" w:color="auto"/>
        <w:right w:val="none" w:sz="0" w:space="0" w:color="auto"/>
      </w:divBdr>
    </w:div>
    <w:div w:id="1726954479">
      <w:marLeft w:val="0"/>
      <w:marRight w:val="0"/>
      <w:marTop w:val="0"/>
      <w:marBottom w:val="30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2227</Words>
  <Characters>13921</Characters>
  <Application>Microsoft Office Word</Application>
  <DocSecurity>0</DocSecurity>
  <Lines>204</Lines>
  <Paragraphs>32</Paragraphs>
  <ScaleCrop>false</ScaleCrop>
  <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Carol S.</dc:creator>
  <cp:keywords/>
  <dc:description/>
  <cp:lastModifiedBy>Casey, Carol S.</cp:lastModifiedBy>
  <cp:revision>6</cp:revision>
  <dcterms:created xsi:type="dcterms:W3CDTF">2026-10-06T18:22:00Z</dcterms:created>
  <dcterms:modified xsi:type="dcterms:W3CDTF">2026-10-14T21:18:00Z</dcterms:modified>
</cp:coreProperties>
</file>